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B398A7" w14:textId="26B463BD" w:rsidR="00E90E49" w:rsidRPr="00663F19" w:rsidRDefault="00E90E49" w:rsidP="00E35559">
      <w:pPr>
        <w:pStyle w:val="3GPPHeader"/>
        <w:spacing w:after="60"/>
        <w:rPr>
          <w:sz w:val="32"/>
          <w:szCs w:val="32"/>
          <w:highlight w:val="yellow"/>
        </w:rPr>
      </w:pPr>
      <w:r w:rsidRPr="00663F19">
        <w:t>3GPP TSG-RAN WG</w:t>
      </w:r>
      <w:r w:rsidR="0015455E" w:rsidRPr="00663F19">
        <w:t>2</w:t>
      </w:r>
      <w:r w:rsidRPr="00663F19">
        <w:t xml:space="preserve"> </w:t>
      </w:r>
      <w:r w:rsidR="008F1C4E" w:rsidRPr="00663F19">
        <w:t xml:space="preserve">Meeting </w:t>
      </w:r>
      <w:r w:rsidRPr="00663F19">
        <w:t>#</w:t>
      </w:r>
      <w:r w:rsidR="0015455E" w:rsidRPr="00663F19">
        <w:t>11</w:t>
      </w:r>
      <w:r w:rsidR="00351857">
        <w:t>6</w:t>
      </w:r>
      <w:r w:rsidR="00292DA6">
        <w:t>-</w:t>
      </w:r>
      <w:r w:rsidR="00CD6314">
        <w:t>e</w:t>
      </w:r>
      <w:r w:rsidRPr="00663F19">
        <w:tab/>
      </w:r>
      <w:r w:rsidRPr="00B75509">
        <w:rPr>
          <w:sz w:val="32"/>
          <w:szCs w:val="32"/>
        </w:rPr>
        <w:t xml:space="preserve">Tdoc </w:t>
      </w:r>
      <w:r w:rsidR="00DF68B7" w:rsidRPr="00B75509">
        <w:rPr>
          <w:sz w:val="32"/>
          <w:szCs w:val="32"/>
        </w:rPr>
        <w:t>R2-</w:t>
      </w:r>
      <w:r w:rsidR="0018172B" w:rsidRPr="0018172B">
        <w:t xml:space="preserve"> </w:t>
      </w:r>
      <w:r w:rsidR="0018172B" w:rsidRPr="0018172B">
        <w:rPr>
          <w:sz w:val="32"/>
          <w:szCs w:val="32"/>
        </w:rPr>
        <w:t>21</w:t>
      </w:r>
      <w:r w:rsidR="00D930DE">
        <w:rPr>
          <w:sz w:val="32"/>
          <w:szCs w:val="32"/>
        </w:rPr>
        <w:t>11100</w:t>
      </w:r>
    </w:p>
    <w:p w14:paraId="75F40BC4" w14:textId="156F428E" w:rsidR="00E90E49" w:rsidRPr="00663F19" w:rsidRDefault="0015455E" w:rsidP="00311702">
      <w:pPr>
        <w:pStyle w:val="3GPPHeader"/>
      </w:pPr>
      <w:r w:rsidRPr="00523229">
        <w:t>E</w:t>
      </w:r>
      <w:r w:rsidR="001866A8">
        <w:t>lectronic M</w:t>
      </w:r>
      <w:r w:rsidRPr="00523229">
        <w:t>eeting</w:t>
      </w:r>
      <w:r w:rsidR="0027144F" w:rsidRPr="00523229">
        <w:t xml:space="preserve">, </w:t>
      </w:r>
      <w:r w:rsidR="00351857">
        <w:t>Nov 1</w:t>
      </w:r>
      <w:r w:rsidR="00351857" w:rsidRPr="00351857">
        <w:rPr>
          <w:vertAlign w:val="superscript"/>
        </w:rPr>
        <w:t>st</w:t>
      </w:r>
      <w:r w:rsidR="004B6516">
        <w:t xml:space="preserve"> </w:t>
      </w:r>
      <w:r w:rsidR="004D3530">
        <w:t>-</w:t>
      </w:r>
      <w:r w:rsidR="00523229">
        <w:t xml:space="preserve"> </w:t>
      </w:r>
      <w:r w:rsidR="00351857">
        <w:t>1</w:t>
      </w:r>
      <w:r w:rsidR="00292DA6">
        <w:t>2</w:t>
      </w:r>
      <w:r w:rsidR="00292DA6" w:rsidRPr="00292DA6">
        <w:rPr>
          <w:vertAlign w:val="superscript"/>
        </w:rPr>
        <w:t>th</w:t>
      </w:r>
      <w:r w:rsidR="006B7A8D">
        <w:t xml:space="preserve">, </w:t>
      </w:r>
      <w:r w:rsidR="00523229">
        <w:t>202</w:t>
      </w:r>
      <w:r w:rsidR="004B6516">
        <w:t>1</w:t>
      </w:r>
      <w:r w:rsidR="00E30AE6">
        <w:tab/>
      </w:r>
    </w:p>
    <w:p w14:paraId="2E745AE3" w14:textId="77777777" w:rsidR="00E90E49" w:rsidRPr="00663F19" w:rsidRDefault="00E90E49" w:rsidP="00357380">
      <w:pPr>
        <w:pStyle w:val="3GPPHeader"/>
      </w:pPr>
    </w:p>
    <w:p w14:paraId="40CF7388" w14:textId="08AB0B37" w:rsidR="00E90E49" w:rsidRPr="00663F19" w:rsidRDefault="00E90E49" w:rsidP="00311702">
      <w:pPr>
        <w:pStyle w:val="3GPPHeader"/>
        <w:rPr>
          <w:sz w:val="22"/>
        </w:rPr>
      </w:pPr>
      <w:r w:rsidRPr="00663F19">
        <w:rPr>
          <w:sz w:val="22"/>
        </w:rPr>
        <w:t>Agenda Item:</w:t>
      </w:r>
      <w:r w:rsidRPr="00663F19">
        <w:rPr>
          <w:sz w:val="22"/>
        </w:rPr>
        <w:tab/>
      </w:r>
      <w:r w:rsidR="00962BA9" w:rsidRPr="00D930DE">
        <w:rPr>
          <w:sz w:val="22"/>
        </w:rPr>
        <w:t>8.12.1</w:t>
      </w:r>
    </w:p>
    <w:p w14:paraId="719003AB" w14:textId="77777777" w:rsidR="00E90E49" w:rsidRPr="00663F19" w:rsidRDefault="003D3C45" w:rsidP="00F64C2B">
      <w:pPr>
        <w:pStyle w:val="3GPPHeader"/>
        <w:rPr>
          <w:sz w:val="22"/>
        </w:rPr>
      </w:pPr>
      <w:r w:rsidRPr="00663F19">
        <w:rPr>
          <w:sz w:val="22"/>
        </w:rPr>
        <w:t>Source:</w:t>
      </w:r>
      <w:r w:rsidR="00E90E49" w:rsidRPr="00663F19">
        <w:rPr>
          <w:sz w:val="22"/>
        </w:rPr>
        <w:tab/>
      </w:r>
      <w:r w:rsidR="00F64C2B" w:rsidRPr="00663F19">
        <w:rPr>
          <w:sz w:val="22"/>
        </w:rPr>
        <w:t>Ericsson</w:t>
      </w:r>
    </w:p>
    <w:p w14:paraId="3CE99A1A" w14:textId="3A045CB5" w:rsidR="00E90E49" w:rsidRPr="00663F19" w:rsidRDefault="003D3C45" w:rsidP="00F95C02">
      <w:pPr>
        <w:pStyle w:val="3GPPHeader"/>
        <w:ind w:left="1700" w:hanging="1700"/>
        <w:rPr>
          <w:sz w:val="22"/>
        </w:rPr>
      </w:pPr>
      <w:r w:rsidRPr="00663F19">
        <w:rPr>
          <w:sz w:val="22"/>
        </w:rPr>
        <w:t>Title:</w:t>
      </w:r>
      <w:r w:rsidR="00E90E49" w:rsidRPr="00663F19">
        <w:rPr>
          <w:sz w:val="22"/>
        </w:rPr>
        <w:tab/>
      </w:r>
      <w:r w:rsidR="008E7BEE">
        <w:rPr>
          <w:sz w:val="22"/>
        </w:rPr>
        <w:t xml:space="preserve">Discussion on </w:t>
      </w:r>
      <w:r w:rsidR="00962BA9" w:rsidRPr="00962BA9">
        <w:rPr>
          <w:sz w:val="22"/>
        </w:rPr>
        <w:t>the coordination between gNBs supporting RedCap UEs</w:t>
      </w:r>
    </w:p>
    <w:p w14:paraId="1C58528E" w14:textId="31C892D0" w:rsidR="00E90E49" w:rsidRPr="0015455E" w:rsidRDefault="00E90E49" w:rsidP="0015455E">
      <w:pPr>
        <w:pStyle w:val="3GPPHeader"/>
        <w:rPr>
          <w:sz w:val="22"/>
        </w:rPr>
      </w:pPr>
      <w:r w:rsidRPr="00CE0424">
        <w:rPr>
          <w:sz w:val="22"/>
        </w:rPr>
        <w:t>Document for:</w:t>
      </w:r>
      <w:r w:rsidRPr="00CE0424">
        <w:rPr>
          <w:sz w:val="22"/>
        </w:rPr>
        <w:tab/>
      </w:r>
      <w:r w:rsidRPr="0015455E">
        <w:rPr>
          <w:sz w:val="22"/>
        </w:rPr>
        <w:t>Discussion, Decision</w:t>
      </w:r>
    </w:p>
    <w:p w14:paraId="0363E309" w14:textId="20143A59" w:rsidR="00E90E49" w:rsidRPr="00CE0424" w:rsidRDefault="00230D18" w:rsidP="00987105">
      <w:pPr>
        <w:pStyle w:val="Heading1"/>
      </w:pPr>
      <w:r>
        <w:t>1</w:t>
      </w:r>
      <w:r>
        <w:tab/>
      </w:r>
      <w:r w:rsidR="00E90E49" w:rsidRPr="00CE0424">
        <w:t>Introduction</w:t>
      </w:r>
    </w:p>
    <w:p w14:paraId="196E91A5" w14:textId="32B960C6" w:rsidR="00AC2447" w:rsidRDefault="00AC2447" w:rsidP="003F3997">
      <w:pPr>
        <w:pStyle w:val="BodyText"/>
        <w:rPr>
          <w:sz w:val="20"/>
          <w:szCs w:val="20"/>
        </w:rPr>
      </w:pPr>
      <w:bookmarkStart w:id="0" w:name="_Ref178064866"/>
      <w:r>
        <w:rPr>
          <w:sz w:val="20"/>
          <w:szCs w:val="20"/>
        </w:rPr>
        <w:t xml:space="preserve">In RAN2#114-e, a LS </w:t>
      </w:r>
      <w:r w:rsidR="000176BF">
        <w:rPr>
          <w:sz w:val="20"/>
          <w:szCs w:val="20"/>
        </w:rPr>
        <w:t xml:space="preserve">(R2-2106536) </w:t>
      </w:r>
      <w:r>
        <w:rPr>
          <w:sz w:val="20"/>
          <w:szCs w:val="20"/>
        </w:rPr>
        <w:t xml:space="preserve">was sent to RAN3 regarding the coordination between gNBs supporting RedCap UEs. RAN2 asked RAN3 </w:t>
      </w:r>
      <w:r w:rsidRPr="00AC2447">
        <w:rPr>
          <w:sz w:val="20"/>
          <w:szCs w:val="20"/>
        </w:rPr>
        <w:t xml:space="preserve">to consider </w:t>
      </w:r>
      <w:r>
        <w:rPr>
          <w:sz w:val="20"/>
          <w:szCs w:val="20"/>
        </w:rPr>
        <w:t xml:space="preserve">introducing mechanisms </w:t>
      </w:r>
      <w:r w:rsidRPr="00AC2447">
        <w:rPr>
          <w:sz w:val="20"/>
          <w:szCs w:val="20"/>
        </w:rPr>
        <w:t>to enable the coordination between gNBs on whether a neighbour/target gNB supports RedCap UEs</w:t>
      </w:r>
      <w:r>
        <w:rPr>
          <w:sz w:val="20"/>
          <w:szCs w:val="20"/>
        </w:rPr>
        <w:t xml:space="preserve">. This is </w:t>
      </w:r>
      <w:r w:rsidRPr="00AC2447">
        <w:rPr>
          <w:sz w:val="20"/>
          <w:szCs w:val="20"/>
        </w:rPr>
        <w:t xml:space="preserve">to avoid </w:t>
      </w:r>
      <w:r>
        <w:rPr>
          <w:sz w:val="20"/>
          <w:szCs w:val="20"/>
        </w:rPr>
        <w:t xml:space="preserve">a </w:t>
      </w:r>
      <w:r w:rsidRPr="00AC2447">
        <w:rPr>
          <w:sz w:val="20"/>
          <w:szCs w:val="20"/>
        </w:rPr>
        <w:t>RedCap UE</w:t>
      </w:r>
      <w:r>
        <w:rPr>
          <w:sz w:val="20"/>
          <w:szCs w:val="20"/>
        </w:rPr>
        <w:t xml:space="preserve"> to be handed over</w:t>
      </w:r>
      <w:r w:rsidRPr="00AC2447">
        <w:rPr>
          <w:sz w:val="20"/>
          <w:szCs w:val="20"/>
        </w:rPr>
        <w:t xml:space="preserve"> to a target cell that it can’t access</w:t>
      </w:r>
      <w:r>
        <w:rPr>
          <w:sz w:val="20"/>
          <w:szCs w:val="20"/>
        </w:rPr>
        <w:t>, i.e., the cell is barred for such UEs or the cell does not support the RedCap feature.</w:t>
      </w:r>
    </w:p>
    <w:p w14:paraId="7D5B8716" w14:textId="32237231" w:rsidR="000176BF" w:rsidRDefault="000176BF" w:rsidP="000176BF">
      <w:pPr>
        <w:pStyle w:val="BodyText"/>
        <w:rPr>
          <w:sz w:val="20"/>
          <w:szCs w:val="20"/>
        </w:rPr>
      </w:pPr>
      <w:r>
        <w:rPr>
          <w:sz w:val="20"/>
          <w:szCs w:val="20"/>
        </w:rPr>
        <w:t xml:space="preserve">RAN3 has replied with a LS (R3-214422) in </w:t>
      </w:r>
      <w:r w:rsidR="004B6516">
        <w:rPr>
          <w:sz w:val="20"/>
          <w:szCs w:val="20"/>
        </w:rPr>
        <w:t>RAN</w:t>
      </w:r>
      <w:r w:rsidR="00962BA9">
        <w:rPr>
          <w:sz w:val="20"/>
          <w:szCs w:val="20"/>
        </w:rPr>
        <w:t>3</w:t>
      </w:r>
      <w:r w:rsidR="004B6516">
        <w:rPr>
          <w:sz w:val="20"/>
          <w:szCs w:val="20"/>
        </w:rPr>
        <w:t>#</w:t>
      </w:r>
      <w:r w:rsidR="00962BA9">
        <w:rPr>
          <w:sz w:val="20"/>
          <w:szCs w:val="20"/>
        </w:rPr>
        <w:t>113-e</w:t>
      </w:r>
      <w:r>
        <w:rPr>
          <w:sz w:val="20"/>
          <w:szCs w:val="20"/>
        </w:rPr>
        <w:t xml:space="preserve"> with the following questions to clarify the behaviour for legacy gNBs not supporting RedCap:</w:t>
      </w:r>
    </w:p>
    <w:p w14:paraId="67261623" w14:textId="14E08DB5" w:rsidR="000176BF" w:rsidRDefault="000176BF" w:rsidP="000176BF">
      <w:pPr>
        <w:rPr>
          <w:rFonts w:ascii="Arial" w:hAnsi="Arial" w:cs="Arial"/>
          <w:color w:val="000000"/>
          <w:sz w:val="20"/>
          <w:szCs w:val="20"/>
          <w:lang w:eastAsia="ko-KR"/>
        </w:rPr>
      </w:pPr>
    </w:p>
    <w:p w14:paraId="3B2C33C7" w14:textId="77777777" w:rsidR="000176BF" w:rsidRDefault="000176BF" w:rsidP="000176BF">
      <w:pPr>
        <w:pStyle w:val="ListParagraph"/>
        <w:numPr>
          <w:ilvl w:val="0"/>
          <w:numId w:val="47"/>
        </w:numPr>
        <w:autoSpaceDE w:val="0"/>
        <w:autoSpaceDN w:val="0"/>
        <w:adjustRightInd w:val="0"/>
        <w:snapToGrid w:val="0"/>
        <w:spacing w:after="120" w:line="240" w:lineRule="auto"/>
        <w:contextualSpacing/>
        <w:jc w:val="both"/>
        <w:rPr>
          <w:rFonts w:ascii="Arial" w:hAnsi="Arial" w:cs="Arial"/>
          <w:color w:val="000000"/>
          <w:sz w:val="20"/>
          <w:szCs w:val="20"/>
          <w:lang w:eastAsia="ko-KR"/>
        </w:rPr>
      </w:pPr>
      <w:r>
        <w:rPr>
          <w:rFonts w:ascii="Arial" w:hAnsi="Arial" w:cs="Arial"/>
          <w:color w:val="000000"/>
          <w:sz w:val="20"/>
          <w:szCs w:val="20"/>
          <w:lang w:eastAsia="ko-KR"/>
        </w:rPr>
        <w:t xml:space="preserve">Can RAN2 confirm that RedCap UEs should not attempt to camp/access in legacy cells or be handed over to such cells; if so, can RAN2 please explain how access control will work for legacy gNBs. This is related to one option considered in RAN3, where it is assumed that the broadcast in supporting cells would be designed to indicate support (or access allowed), and the presence (or contents) of such broadcast would be indicated at Xn level by the possible introduction of new information elements, rather than a barring indication as mentioned in the LS. </w:t>
      </w:r>
    </w:p>
    <w:p w14:paraId="29CB24D3" w14:textId="77777777" w:rsidR="000176BF" w:rsidRDefault="000176BF" w:rsidP="000176BF">
      <w:pPr>
        <w:pStyle w:val="ListParagraph"/>
        <w:rPr>
          <w:rFonts w:ascii="Arial" w:hAnsi="Arial" w:cs="Arial"/>
          <w:color w:val="000000"/>
          <w:sz w:val="20"/>
          <w:szCs w:val="20"/>
          <w:lang w:eastAsia="ko-KR"/>
        </w:rPr>
      </w:pPr>
    </w:p>
    <w:p w14:paraId="715069B9" w14:textId="77777777" w:rsidR="000176BF" w:rsidRDefault="000176BF" w:rsidP="000176BF">
      <w:pPr>
        <w:pStyle w:val="ListParagraph"/>
        <w:numPr>
          <w:ilvl w:val="0"/>
          <w:numId w:val="47"/>
        </w:numPr>
        <w:autoSpaceDE w:val="0"/>
        <w:autoSpaceDN w:val="0"/>
        <w:adjustRightInd w:val="0"/>
        <w:snapToGrid w:val="0"/>
        <w:spacing w:after="120" w:line="240" w:lineRule="auto"/>
        <w:contextualSpacing/>
        <w:jc w:val="both"/>
        <w:rPr>
          <w:rFonts w:ascii="Arial" w:hAnsi="Arial" w:cs="Arial"/>
          <w:color w:val="000000"/>
          <w:sz w:val="20"/>
          <w:szCs w:val="20"/>
          <w:lang w:eastAsia="ko-KR"/>
        </w:rPr>
      </w:pPr>
      <w:r>
        <w:rPr>
          <w:rFonts w:ascii="Arial" w:hAnsi="Arial" w:cs="Arial"/>
          <w:color w:val="000000"/>
          <w:sz w:val="20"/>
          <w:szCs w:val="20"/>
          <w:lang w:eastAsia="ko-KR"/>
        </w:rPr>
        <w:t>Can RAN2 confirm whether</w:t>
      </w:r>
      <w:r w:rsidRPr="00D20F85">
        <w:rPr>
          <w:rFonts w:ascii="Arial" w:hAnsi="Arial" w:cs="Arial"/>
          <w:color w:val="000000"/>
          <w:sz w:val="20"/>
          <w:szCs w:val="20"/>
          <w:lang w:eastAsia="ko-KR"/>
        </w:rPr>
        <w:t xml:space="preserve"> a legacy gNB </w:t>
      </w:r>
      <w:r>
        <w:rPr>
          <w:rFonts w:ascii="Arial" w:hAnsi="Arial" w:cs="Arial"/>
          <w:color w:val="000000"/>
          <w:sz w:val="20"/>
          <w:szCs w:val="20"/>
          <w:lang w:eastAsia="ko-KR"/>
        </w:rPr>
        <w:t xml:space="preserve">can </w:t>
      </w:r>
      <w:r w:rsidRPr="00D20F85">
        <w:rPr>
          <w:rFonts w:ascii="Arial" w:hAnsi="Arial" w:cs="Arial"/>
          <w:color w:val="000000"/>
          <w:sz w:val="20"/>
          <w:szCs w:val="20"/>
          <w:lang w:eastAsia="ko-KR"/>
        </w:rPr>
        <w:t xml:space="preserve">detect via the </w:t>
      </w:r>
      <w:r>
        <w:rPr>
          <w:rFonts w:ascii="Arial" w:hAnsi="Arial" w:cs="Arial"/>
          <w:color w:val="000000"/>
          <w:sz w:val="20"/>
          <w:szCs w:val="20"/>
          <w:lang w:eastAsia="ko-KR"/>
        </w:rPr>
        <w:t>(</w:t>
      </w:r>
      <w:r w:rsidRPr="00D20F85">
        <w:rPr>
          <w:rFonts w:ascii="Arial" w:hAnsi="Arial" w:cs="Arial"/>
          <w:color w:val="000000"/>
          <w:sz w:val="20"/>
          <w:szCs w:val="20"/>
          <w:lang w:eastAsia="ko-KR"/>
        </w:rPr>
        <w:t>RedCap</w:t>
      </w:r>
      <w:r>
        <w:rPr>
          <w:rFonts w:ascii="Arial" w:hAnsi="Arial" w:cs="Arial"/>
          <w:color w:val="000000"/>
          <w:sz w:val="20"/>
          <w:szCs w:val="20"/>
          <w:lang w:eastAsia="ko-KR"/>
        </w:rPr>
        <w:t>)</w:t>
      </w:r>
      <w:r w:rsidRPr="00D20F85">
        <w:rPr>
          <w:rFonts w:ascii="Arial" w:hAnsi="Arial" w:cs="Arial"/>
          <w:color w:val="000000"/>
          <w:sz w:val="20"/>
          <w:szCs w:val="20"/>
          <w:lang w:eastAsia="ko-KR"/>
        </w:rPr>
        <w:t xml:space="preserve"> UE </w:t>
      </w:r>
      <w:r>
        <w:rPr>
          <w:rFonts w:ascii="Arial" w:hAnsi="Arial" w:cs="Arial"/>
          <w:color w:val="000000"/>
          <w:sz w:val="20"/>
          <w:szCs w:val="20"/>
          <w:lang w:eastAsia="ko-KR"/>
        </w:rPr>
        <w:t>Radio C</w:t>
      </w:r>
      <w:r w:rsidRPr="00D20F85">
        <w:rPr>
          <w:rFonts w:ascii="Arial" w:hAnsi="Arial" w:cs="Arial"/>
          <w:color w:val="000000"/>
          <w:sz w:val="20"/>
          <w:szCs w:val="20"/>
          <w:lang w:eastAsia="ko-KR"/>
        </w:rPr>
        <w:t xml:space="preserve">apabilities (e.g. at Handover preparation) that it cannot </w:t>
      </w:r>
      <w:r>
        <w:rPr>
          <w:rFonts w:ascii="Arial" w:hAnsi="Arial" w:cs="Arial"/>
          <w:color w:val="000000"/>
          <w:sz w:val="20"/>
          <w:szCs w:val="20"/>
          <w:lang w:eastAsia="ko-KR"/>
        </w:rPr>
        <w:t xml:space="preserve">configure or </w:t>
      </w:r>
      <w:r w:rsidRPr="00D20F85">
        <w:rPr>
          <w:rFonts w:ascii="Arial" w:hAnsi="Arial" w:cs="Arial"/>
          <w:color w:val="000000"/>
          <w:sz w:val="20"/>
          <w:szCs w:val="20"/>
          <w:lang w:eastAsia="ko-KR"/>
        </w:rPr>
        <w:t>serve the RedCap UE?</w:t>
      </w:r>
      <w:r>
        <w:rPr>
          <w:rFonts w:ascii="Arial" w:hAnsi="Arial" w:cs="Arial"/>
          <w:color w:val="000000"/>
          <w:sz w:val="20"/>
          <w:szCs w:val="20"/>
          <w:lang w:eastAsia="ko-KR"/>
        </w:rPr>
        <w:t xml:space="preserve"> This is related to another option considered by RAN3 in which a Rel-17 gNB can perceive, e.g., the support or barring by a neighbour gNB cell of RedCap UE via the handover preparation failure with signalling a proper cause value at XnAP level. </w:t>
      </w:r>
    </w:p>
    <w:p w14:paraId="0B44ACF8" w14:textId="77777777" w:rsidR="000176BF" w:rsidRDefault="000176BF" w:rsidP="000176BF">
      <w:pPr>
        <w:rPr>
          <w:rFonts w:ascii="Arial" w:hAnsi="Arial" w:cs="Arial"/>
          <w:color w:val="000000"/>
          <w:sz w:val="20"/>
          <w:szCs w:val="20"/>
          <w:lang w:eastAsia="ko-KR"/>
        </w:rPr>
      </w:pPr>
    </w:p>
    <w:p w14:paraId="1AFD931C" w14:textId="3C7060C7" w:rsidR="00732391" w:rsidRPr="00CE50FA" w:rsidRDefault="00D665ED" w:rsidP="00CE50FA">
      <w:pPr>
        <w:rPr>
          <w:rFonts w:ascii="Arial" w:hAnsi="Arial" w:cs="Arial"/>
          <w:color w:val="000000"/>
          <w:sz w:val="20"/>
          <w:szCs w:val="20"/>
          <w:lang w:eastAsia="ko-KR"/>
        </w:rPr>
      </w:pPr>
      <w:r>
        <w:rPr>
          <w:rFonts w:ascii="Arial" w:hAnsi="Arial" w:cs="Arial"/>
          <w:color w:val="000000"/>
          <w:sz w:val="20"/>
          <w:szCs w:val="20"/>
          <w:lang w:eastAsia="ko-KR"/>
        </w:rPr>
        <w:t>In this contribution we discuss the aspects that were brought up with the questions provided in the LS from RAN3.</w:t>
      </w:r>
    </w:p>
    <w:p w14:paraId="35F8BEEA" w14:textId="40606AF1" w:rsidR="003E4DB2" w:rsidRDefault="003E4DB2" w:rsidP="003E4DB2">
      <w:pPr>
        <w:pStyle w:val="Heading1"/>
      </w:pPr>
      <w:r>
        <w:t>2</w:t>
      </w:r>
      <w:r>
        <w:tab/>
      </w:r>
      <w:r w:rsidR="00305670">
        <w:t>Discussion</w:t>
      </w:r>
    </w:p>
    <w:p w14:paraId="22C0E310" w14:textId="0997F2DE" w:rsidR="00305670" w:rsidRDefault="00247E42" w:rsidP="00D665ED">
      <w:pPr>
        <w:jc w:val="both"/>
        <w:rPr>
          <w:rFonts w:ascii="Arial" w:hAnsi="Arial" w:cs="Arial"/>
          <w:sz w:val="20"/>
          <w:szCs w:val="20"/>
        </w:rPr>
      </w:pPr>
      <w:r>
        <w:rPr>
          <w:rFonts w:ascii="Arial" w:hAnsi="Arial" w:cs="Arial"/>
          <w:sz w:val="20"/>
          <w:szCs w:val="20"/>
        </w:rPr>
        <w:t>In the first question</w:t>
      </w:r>
      <w:r w:rsidR="00E832D8">
        <w:rPr>
          <w:rFonts w:ascii="Arial" w:hAnsi="Arial" w:cs="Arial"/>
          <w:sz w:val="20"/>
          <w:szCs w:val="20"/>
        </w:rPr>
        <w:t xml:space="preserve"> RAN3</w:t>
      </w:r>
      <w:r>
        <w:rPr>
          <w:rFonts w:ascii="Arial" w:hAnsi="Arial" w:cs="Arial"/>
          <w:sz w:val="20"/>
          <w:szCs w:val="20"/>
        </w:rPr>
        <w:t xml:space="preserve"> </w:t>
      </w:r>
      <w:r w:rsidR="00E832D8">
        <w:rPr>
          <w:rFonts w:ascii="Arial" w:hAnsi="Arial" w:cs="Arial"/>
          <w:sz w:val="20"/>
          <w:szCs w:val="20"/>
        </w:rPr>
        <w:t xml:space="preserve">would like RAN2 to confirm whether RedCap UEs are expected not to camp or attempt to access cells served by legacy gNBs. The motivation is to consider a mechanism in RAN3 assuming that </w:t>
      </w:r>
      <w:r w:rsidR="00E832D8">
        <w:rPr>
          <w:rFonts w:ascii="Arial" w:hAnsi="Arial" w:cs="Arial"/>
          <w:color w:val="000000"/>
          <w:sz w:val="20"/>
          <w:szCs w:val="20"/>
          <w:lang w:eastAsia="ko-KR"/>
        </w:rPr>
        <w:t>the broadcast in supporting cells would be designed to indicate support (or access allowed), and the presence (or contents) of such broadcast would be indicated at Xn level by the possible introduction of new information elements, rather than a barring indication as mentioned in the LS.</w:t>
      </w:r>
    </w:p>
    <w:p w14:paraId="254CF3BC" w14:textId="3D20D25C" w:rsidR="00E832D8" w:rsidRDefault="00E832D8" w:rsidP="00D665ED">
      <w:pPr>
        <w:jc w:val="both"/>
        <w:rPr>
          <w:rFonts w:ascii="Arial" w:hAnsi="Arial" w:cs="Arial"/>
          <w:sz w:val="20"/>
          <w:szCs w:val="20"/>
        </w:rPr>
      </w:pPr>
      <w:r>
        <w:rPr>
          <w:rFonts w:ascii="Arial" w:hAnsi="Arial" w:cs="Arial"/>
          <w:sz w:val="20"/>
          <w:szCs w:val="20"/>
        </w:rPr>
        <w:t xml:space="preserve">RAN2 has agreed </w:t>
      </w:r>
      <w:r w:rsidR="00A70C45">
        <w:rPr>
          <w:rFonts w:ascii="Arial" w:hAnsi="Arial" w:cs="Arial"/>
          <w:sz w:val="20"/>
          <w:szCs w:val="20"/>
        </w:rPr>
        <w:t xml:space="preserve">the following which </w:t>
      </w:r>
      <w:r w:rsidR="00BD6586">
        <w:rPr>
          <w:rFonts w:ascii="Arial" w:hAnsi="Arial" w:cs="Arial"/>
          <w:sz w:val="20"/>
          <w:szCs w:val="20"/>
        </w:rPr>
        <w:t xml:space="preserve">can </w:t>
      </w:r>
      <w:r w:rsidR="00A70C45">
        <w:rPr>
          <w:rFonts w:ascii="Arial" w:hAnsi="Arial" w:cs="Arial"/>
          <w:sz w:val="20"/>
          <w:szCs w:val="20"/>
        </w:rPr>
        <w:t>be considered relevant</w:t>
      </w:r>
      <w:r w:rsidR="00BD6586">
        <w:rPr>
          <w:rFonts w:ascii="Arial" w:hAnsi="Arial" w:cs="Arial"/>
          <w:sz w:val="20"/>
          <w:szCs w:val="20"/>
        </w:rPr>
        <w:t xml:space="preserve"> to this question</w:t>
      </w:r>
      <w:r w:rsidR="00A70C45">
        <w:rPr>
          <w:rFonts w:ascii="Arial" w:hAnsi="Arial" w:cs="Arial"/>
          <w:sz w:val="20"/>
          <w:szCs w:val="20"/>
        </w:rPr>
        <w:t>:</w:t>
      </w:r>
    </w:p>
    <w:p w14:paraId="72A6EC4D" w14:textId="5961BCA9" w:rsidR="00E832D8" w:rsidRDefault="00A70C45" w:rsidP="00D665ED">
      <w:pPr>
        <w:jc w:val="both"/>
        <w:rPr>
          <w:rFonts w:ascii="Arial" w:hAnsi="Arial" w:cs="Arial"/>
          <w:sz w:val="20"/>
          <w:szCs w:val="20"/>
        </w:rPr>
      </w:pPr>
      <w:r>
        <w:rPr>
          <w:rFonts w:ascii="Arial" w:hAnsi="Arial" w:cs="Arial"/>
          <w:sz w:val="20"/>
          <w:szCs w:val="20"/>
        </w:rPr>
        <w:t>In RAN2#114</w:t>
      </w:r>
      <w:r w:rsidR="00570800">
        <w:rPr>
          <w:rFonts w:ascii="Arial" w:hAnsi="Arial" w:cs="Arial"/>
          <w:sz w:val="20"/>
          <w:szCs w:val="20"/>
        </w:rPr>
        <w:t>-e</w:t>
      </w:r>
      <w:r>
        <w:rPr>
          <w:rFonts w:ascii="Arial" w:hAnsi="Arial" w:cs="Arial"/>
          <w:sz w:val="20"/>
          <w:szCs w:val="20"/>
        </w:rPr>
        <w:t>:</w:t>
      </w:r>
    </w:p>
    <w:p w14:paraId="30E5A37A" w14:textId="77777777" w:rsidR="00A70C45" w:rsidRDefault="00A70C45" w:rsidP="00A70C45">
      <w:pPr>
        <w:pStyle w:val="ListParagraph"/>
        <w:numPr>
          <w:ilvl w:val="0"/>
          <w:numId w:val="48"/>
        </w:numPr>
        <w:jc w:val="both"/>
        <w:rPr>
          <w:rFonts w:ascii="Arial" w:hAnsi="Arial" w:cs="Arial"/>
          <w:sz w:val="20"/>
          <w:szCs w:val="20"/>
        </w:rPr>
      </w:pPr>
      <w:r w:rsidRPr="00A70C45">
        <w:rPr>
          <w:rFonts w:ascii="Arial" w:hAnsi="Arial" w:cs="Arial"/>
          <w:sz w:val="20"/>
          <w:szCs w:val="20"/>
        </w:rPr>
        <w:lastRenderedPageBreak/>
        <w:t>SIB1 (not MIB) indicates cell barring for 1 Rx branch and 2 Rx branches separately for RedCap UEs. Further details of the solution are FFS</w:t>
      </w:r>
    </w:p>
    <w:p w14:paraId="789A3961" w14:textId="77777777" w:rsidR="00A70C45" w:rsidRDefault="00A70C45" w:rsidP="00A70C45">
      <w:pPr>
        <w:pStyle w:val="ListParagraph"/>
        <w:numPr>
          <w:ilvl w:val="0"/>
          <w:numId w:val="48"/>
        </w:numPr>
        <w:jc w:val="both"/>
        <w:rPr>
          <w:rFonts w:ascii="Arial" w:hAnsi="Arial" w:cs="Arial"/>
          <w:sz w:val="20"/>
          <w:szCs w:val="20"/>
        </w:rPr>
      </w:pPr>
      <w:r w:rsidRPr="00A70C45">
        <w:rPr>
          <w:rFonts w:ascii="Arial" w:hAnsi="Arial" w:cs="Arial"/>
          <w:sz w:val="20"/>
          <w:szCs w:val="20"/>
        </w:rPr>
        <w:t>The cell barring for RedCap UE is per cell (not per PLMN).</w:t>
      </w:r>
    </w:p>
    <w:p w14:paraId="7F57085D" w14:textId="77777777" w:rsidR="00A70C45" w:rsidRDefault="00A70C45" w:rsidP="00A70C45">
      <w:pPr>
        <w:pStyle w:val="ListParagraph"/>
        <w:numPr>
          <w:ilvl w:val="0"/>
          <w:numId w:val="48"/>
        </w:numPr>
        <w:jc w:val="both"/>
        <w:rPr>
          <w:rFonts w:ascii="Arial" w:hAnsi="Arial" w:cs="Arial"/>
          <w:sz w:val="20"/>
          <w:szCs w:val="20"/>
        </w:rPr>
      </w:pPr>
      <w:r w:rsidRPr="00A70C45">
        <w:rPr>
          <w:rFonts w:ascii="Arial" w:hAnsi="Arial" w:cs="Arial"/>
          <w:sz w:val="20"/>
          <w:szCs w:val="20"/>
        </w:rPr>
        <w:t>RedCap UE supports the Intra Frequency Reselection Indicator.</w:t>
      </w:r>
    </w:p>
    <w:p w14:paraId="6C70443E" w14:textId="4715D46C" w:rsidR="00A70C45" w:rsidRDefault="00A70C45" w:rsidP="00570800">
      <w:pPr>
        <w:jc w:val="both"/>
        <w:rPr>
          <w:rFonts w:ascii="Arial" w:hAnsi="Arial" w:cs="Arial"/>
          <w:sz w:val="20"/>
          <w:szCs w:val="20"/>
        </w:rPr>
      </w:pPr>
    </w:p>
    <w:p w14:paraId="2B830A14" w14:textId="7EF8E425" w:rsidR="00570800" w:rsidRPr="00570800" w:rsidRDefault="00570800" w:rsidP="00570800">
      <w:pPr>
        <w:jc w:val="both"/>
        <w:rPr>
          <w:rFonts w:ascii="Arial" w:hAnsi="Arial" w:cs="Arial"/>
          <w:sz w:val="20"/>
          <w:szCs w:val="20"/>
        </w:rPr>
      </w:pPr>
      <w:r>
        <w:rPr>
          <w:rFonts w:ascii="Arial" w:hAnsi="Arial" w:cs="Arial"/>
          <w:sz w:val="20"/>
          <w:szCs w:val="20"/>
        </w:rPr>
        <w:t>In RAN2#115-e</w:t>
      </w:r>
    </w:p>
    <w:p w14:paraId="6A986745" w14:textId="1A84574B" w:rsidR="00570800" w:rsidRPr="00570800" w:rsidRDefault="00570800" w:rsidP="00570800">
      <w:pPr>
        <w:pStyle w:val="ListParagraph"/>
        <w:numPr>
          <w:ilvl w:val="0"/>
          <w:numId w:val="48"/>
        </w:numPr>
        <w:jc w:val="both"/>
        <w:rPr>
          <w:rFonts w:ascii="Arial" w:hAnsi="Arial" w:cs="Arial"/>
          <w:sz w:val="20"/>
          <w:szCs w:val="20"/>
        </w:rPr>
      </w:pPr>
      <w:r w:rsidRPr="00570800">
        <w:rPr>
          <w:rFonts w:ascii="Arial" w:hAnsi="Arial" w:cs="Arial"/>
          <w:sz w:val="20"/>
          <w:szCs w:val="20"/>
        </w:rPr>
        <w:t>Specify separate indications in SIB1 for barring RedCap UEs with 1 Rx chain and 2 Rx chains.</w:t>
      </w:r>
    </w:p>
    <w:p w14:paraId="01992120" w14:textId="0A6DC75E" w:rsidR="00570800" w:rsidRDefault="00570800" w:rsidP="00570800">
      <w:pPr>
        <w:pStyle w:val="ListParagraph"/>
        <w:numPr>
          <w:ilvl w:val="0"/>
          <w:numId w:val="48"/>
        </w:numPr>
        <w:jc w:val="both"/>
        <w:rPr>
          <w:rFonts w:ascii="Arial" w:hAnsi="Arial" w:cs="Arial"/>
          <w:sz w:val="20"/>
          <w:szCs w:val="20"/>
        </w:rPr>
      </w:pPr>
      <w:r w:rsidRPr="00570800">
        <w:rPr>
          <w:rFonts w:ascii="Arial" w:hAnsi="Arial" w:cs="Arial"/>
          <w:sz w:val="20"/>
          <w:szCs w:val="20"/>
        </w:rPr>
        <w:t>Specify a RedCap specific IFRI in SIB1.</w:t>
      </w:r>
    </w:p>
    <w:p w14:paraId="237BA82B" w14:textId="77777777" w:rsidR="00570800" w:rsidRPr="00570800" w:rsidRDefault="00570800" w:rsidP="00570800">
      <w:pPr>
        <w:pStyle w:val="ListParagraph"/>
        <w:numPr>
          <w:ilvl w:val="0"/>
          <w:numId w:val="48"/>
        </w:numPr>
        <w:jc w:val="both"/>
        <w:rPr>
          <w:rFonts w:ascii="Arial" w:hAnsi="Arial" w:cs="Arial"/>
          <w:sz w:val="20"/>
          <w:szCs w:val="20"/>
        </w:rPr>
      </w:pPr>
      <w:r w:rsidRPr="00570800">
        <w:rPr>
          <w:rFonts w:ascii="Arial" w:hAnsi="Arial" w:cs="Arial"/>
          <w:sz w:val="20"/>
          <w:szCs w:val="20"/>
        </w:rPr>
        <w:t xml:space="preserve">IFRI for RedCap UEs in SIB1 is common for UEs with 1 Rx or 2 Rx branches. </w:t>
      </w:r>
    </w:p>
    <w:p w14:paraId="3086190C" w14:textId="0561F935" w:rsidR="00570800" w:rsidRDefault="00570800" w:rsidP="00570800">
      <w:pPr>
        <w:pStyle w:val="ListParagraph"/>
        <w:numPr>
          <w:ilvl w:val="0"/>
          <w:numId w:val="48"/>
        </w:numPr>
        <w:jc w:val="both"/>
        <w:rPr>
          <w:rFonts w:ascii="Arial" w:hAnsi="Arial" w:cs="Arial"/>
          <w:sz w:val="20"/>
          <w:szCs w:val="20"/>
        </w:rPr>
      </w:pPr>
      <w:r w:rsidRPr="00570800">
        <w:rPr>
          <w:rFonts w:ascii="Arial" w:hAnsi="Arial" w:cs="Arial"/>
          <w:sz w:val="20"/>
          <w:szCs w:val="20"/>
        </w:rPr>
        <w:t>If RedCap-specific IFRI is absent from broadcast SI, the UE considers the cell does not support RedCap.</w:t>
      </w:r>
    </w:p>
    <w:p w14:paraId="1AA227F8" w14:textId="1C9786AF" w:rsidR="00570800" w:rsidRDefault="00570800" w:rsidP="00570800">
      <w:pPr>
        <w:pStyle w:val="ListParagraph"/>
        <w:numPr>
          <w:ilvl w:val="0"/>
          <w:numId w:val="48"/>
        </w:numPr>
        <w:jc w:val="both"/>
        <w:rPr>
          <w:rFonts w:ascii="Arial" w:hAnsi="Arial" w:cs="Arial"/>
          <w:sz w:val="20"/>
          <w:szCs w:val="20"/>
        </w:rPr>
      </w:pPr>
      <w:r w:rsidRPr="00570800">
        <w:rPr>
          <w:rFonts w:ascii="Arial" w:hAnsi="Arial" w:cs="Arial"/>
          <w:sz w:val="20"/>
          <w:szCs w:val="20"/>
        </w:rPr>
        <w:t xml:space="preserve">RedCap UE applies the existing </w:t>
      </w:r>
      <w:r w:rsidRPr="00F95D24">
        <w:rPr>
          <w:rFonts w:ascii="Arial" w:hAnsi="Arial" w:cs="Arial"/>
          <w:i/>
          <w:iCs/>
          <w:sz w:val="20"/>
          <w:szCs w:val="20"/>
        </w:rPr>
        <w:t>cellBarred</w:t>
      </w:r>
      <w:r w:rsidRPr="00570800">
        <w:rPr>
          <w:rFonts w:ascii="Arial" w:hAnsi="Arial" w:cs="Arial"/>
          <w:sz w:val="20"/>
          <w:szCs w:val="20"/>
        </w:rPr>
        <w:t xml:space="preserve"> field in MIB</w:t>
      </w:r>
    </w:p>
    <w:p w14:paraId="7C16AB9B" w14:textId="77777777" w:rsidR="00570800" w:rsidRPr="00570800" w:rsidRDefault="00570800" w:rsidP="00BD6586">
      <w:pPr>
        <w:pStyle w:val="ListParagraph"/>
        <w:jc w:val="both"/>
        <w:rPr>
          <w:rFonts w:ascii="Arial" w:hAnsi="Arial" w:cs="Arial"/>
          <w:sz w:val="20"/>
          <w:szCs w:val="20"/>
        </w:rPr>
      </w:pPr>
    </w:p>
    <w:p w14:paraId="02833BA5" w14:textId="325985B5" w:rsidR="00570800" w:rsidRPr="00DC7E6F" w:rsidRDefault="00DC7E6F" w:rsidP="00570800">
      <w:pPr>
        <w:jc w:val="both"/>
        <w:rPr>
          <w:rFonts w:ascii="Arial" w:hAnsi="Arial" w:cs="Arial"/>
          <w:sz w:val="20"/>
          <w:szCs w:val="20"/>
        </w:rPr>
      </w:pPr>
      <w:r w:rsidRPr="00DC7E6F">
        <w:rPr>
          <w:rFonts w:ascii="Arial" w:hAnsi="Arial" w:cs="Arial"/>
          <w:sz w:val="20"/>
          <w:szCs w:val="20"/>
        </w:rPr>
        <w:t>Based on the agreements a</w:t>
      </w:r>
      <w:r>
        <w:rPr>
          <w:rFonts w:ascii="Arial" w:hAnsi="Arial" w:cs="Arial"/>
          <w:sz w:val="20"/>
          <w:szCs w:val="20"/>
        </w:rPr>
        <w:t xml:space="preserve">bove, one can say that </w:t>
      </w:r>
      <w:r>
        <w:rPr>
          <w:rFonts w:ascii="Arial" w:hAnsi="Arial" w:cs="Arial"/>
          <w:color w:val="000000"/>
          <w:sz w:val="20"/>
          <w:szCs w:val="20"/>
          <w:lang w:eastAsia="ko-KR"/>
        </w:rPr>
        <w:t xml:space="preserve">RedCap UEs should not attempt to camp/access in legacy cells or be handed over to such cells. </w:t>
      </w:r>
      <w:r w:rsidR="00734C13">
        <w:rPr>
          <w:rFonts w:ascii="Arial" w:hAnsi="Arial" w:cs="Arial"/>
          <w:color w:val="000000"/>
          <w:sz w:val="20"/>
          <w:szCs w:val="20"/>
          <w:lang w:eastAsia="ko-KR"/>
        </w:rPr>
        <w:t xml:space="preserve">Support for RedCap UEs in a cell is indicated by providing, e.g., </w:t>
      </w:r>
      <w:r w:rsidR="00734C13" w:rsidRPr="00370268">
        <w:rPr>
          <w:rFonts w:ascii="Arial" w:hAnsi="Arial" w:cs="Arial"/>
          <w:color w:val="000000"/>
          <w:sz w:val="20"/>
          <w:szCs w:val="20"/>
          <w:lang w:eastAsia="ko-KR"/>
        </w:rPr>
        <w:t>RedCap-specific IFRI</w:t>
      </w:r>
      <w:r w:rsidR="00734C13">
        <w:rPr>
          <w:rFonts w:ascii="Arial" w:hAnsi="Arial" w:cs="Arial"/>
          <w:color w:val="000000"/>
          <w:sz w:val="20"/>
          <w:szCs w:val="20"/>
          <w:lang w:eastAsia="ko-KR"/>
        </w:rPr>
        <w:t>,</w:t>
      </w:r>
      <w:r w:rsidR="00734C13" w:rsidRPr="00370268">
        <w:rPr>
          <w:rFonts w:ascii="Arial" w:hAnsi="Arial" w:cs="Arial"/>
          <w:color w:val="000000"/>
          <w:sz w:val="20"/>
          <w:szCs w:val="20"/>
          <w:lang w:eastAsia="ko-KR"/>
        </w:rPr>
        <w:t xml:space="preserve"> in system information broadcast</w:t>
      </w:r>
      <w:r w:rsidR="00734C13">
        <w:rPr>
          <w:rFonts w:ascii="Arial" w:hAnsi="Arial" w:cs="Arial"/>
          <w:color w:val="000000"/>
          <w:sz w:val="20"/>
          <w:szCs w:val="20"/>
          <w:lang w:eastAsia="ko-KR"/>
        </w:rPr>
        <w:t xml:space="preserve">, i.e., absence of the parameter would indicate that </w:t>
      </w:r>
      <w:r w:rsidR="00734C13" w:rsidRPr="00370268">
        <w:rPr>
          <w:rFonts w:ascii="Arial" w:hAnsi="Arial" w:cs="Arial"/>
          <w:color w:val="000000"/>
          <w:sz w:val="20"/>
          <w:szCs w:val="20"/>
          <w:lang w:eastAsia="ko-KR"/>
        </w:rPr>
        <w:t>the cell does not support RedCap UEs.</w:t>
      </w:r>
      <w:r>
        <w:rPr>
          <w:rFonts w:ascii="Arial" w:hAnsi="Arial" w:cs="Arial"/>
          <w:color w:val="000000"/>
          <w:sz w:val="20"/>
          <w:szCs w:val="20"/>
          <w:lang w:eastAsia="ko-KR"/>
        </w:rPr>
        <w:t>.</w:t>
      </w:r>
    </w:p>
    <w:p w14:paraId="5ACC90E3" w14:textId="77777777" w:rsidR="00DC7E6F" w:rsidRPr="00987105" w:rsidRDefault="00DC7E6F" w:rsidP="00DC7E6F">
      <w:pPr>
        <w:pStyle w:val="BodyText"/>
        <w:rPr>
          <w:sz w:val="20"/>
          <w:szCs w:val="20"/>
        </w:rPr>
      </w:pPr>
    </w:p>
    <w:p w14:paraId="74DF32A6" w14:textId="0D21F8AC" w:rsidR="00DC7E6F" w:rsidRPr="00C81256" w:rsidRDefault="00DC7E6F" w:rsidP="00DC7E6F">
      <w:pPr>
        <w:pStyle w:val="Observation"/>
        <w:rPr>
          <w:sz w:val="20"/>
          <w:szCs w:val="20"/>
        </w:rPr>
      </w:pPr>
      <w:bookmarkStart w:id="1" w:name="_Toc79113222"/>
      <w:bookmarkStart w:id="2" w:name="_Toc85764874"/>
      <w:r>
        <w:rPr>
          <w:rFonts w:cs="Arial"/>
          <w:color w:val="000000"/>
          <w:sz w:val="20"/>
          <w:szCs w:val="20"/>
          <w:lang w:eastAsia="ko-KR"/>
        </w:rPr>
        <w:t>RedCap UEs should not attempt to camp/access in legacy cells or be handed over to such cells</w:t>
      </w:r>
      <w:r>
        <w:rPr>
          <w:rFonts w:eastAsia="SimSun" w:cs="Arial"/>
          <w:sz w:val="20"/>
          <w:szCs w:val="20"/>
        </w:rPr>
        <w:t>.</w:t>
      </w:r>
      <w:bookmarkEnd w:id="1"/>
      <w:bookmarkEnd w:id="2"/>
    </w:p>
    <w:p w14:paraId="31A6F082" w14:textId="5915F1DB" w:rsidR="00DC7E6F" w:rsidRPr="00DC7E6F" w:rsidRDefault="00DC7E6F" w:rsidP="00DC7E6F">
      <w:pPr>
        <w:pStyle w:val="Observation"/>
        <w:numPr>
          <w:ilvl w:val="0"/>
          <w:numId w:val="0"/>
        </w:numPr>
        <w:rPr>
          <w:rFonts w:cs="Arial"/>
          <w:sz w:val="20"/>
          <w:szCs w:val="20"/>
        </w:rPr>
      </w:pPr>
    </w:p>
    <w:p w14:paraId="1547EB8D" w14:textId="024963CC" w:rsidR="00DC7E6F" w:rsidRDefault="00DC7E6F" w:rsidP="00DC7E6F">
      <w:pPr>
        <w:jc w:val="both"/>
        <w:rPr>
          <w:rFonts w:ascii="Arial" w:hAnsi="Arial" w:cs="Arial"/>
          <w:sz w:val="20"/>
          <w:szCs w:val="20"/>
        </w:rPr>
      </w:pPr>
      <w:r w:rsidRPr="00DC7E6F">
        <w:rPr>
          <w:rFonts w:ascii="Arial" w:hAnsi="Arial" w:cs="Arial"/>
          <w:sz w:val="20"/>
          <w:szCs w:val="20"/>
        </w:rPr>
        <w:t xml:space="preserve">In the second </w:t>
      </w:r>
      <w:r>
        <w:rPr>
          <w:rFonts w:ascii="Arial" w:hAnsi="Arial" w:cs="Arial"/>
          <w:sz w:val="20"/>
          <w:szCs w:val="20"/>
        </w:rPr>
        <w:t xml:space="preserve">question RAN3 would like to confirm whether </w:t>
      </w:r>
      <w:r w:rsidRPr="00D20F85">
        <w:rPr>
          <w:rFonts w:ascii="Arial" w:hAnsi="Arial" w:cs="Arial"/>
          <w:color w:val="000000"/>
          <w:sz w:val="20"/>
          <w:szCs w:val="20"/>
          <w:lang w:eastAsia="ko-KR"/>
        </w:rPr>
        <w:t xml:space="preserve">a legacy gNB </w:t>
      </w:r>
      <w:r>
        <w:rPr>
          <w:rFonts w:ascii="Arial" w:hAnsi="Arial" w:cs="Arial"/>
          <w:color w:val="000000"/>
          <w:sz w:val="20"/>
          <w:szCs w:val="20"/>
          <w:lang w:eastAsia="ko-KR"/>
        </w:rPr>
        <w:t xml:space="preserve">can </w:t>
      </w:r>
      <w:r w:rsidRPr="00D20F85">
        <w:rPr>
          <w:rFonts w:ascii="Arial" w:hAnsi="Arial" w:cs="Arial"/>
          <w:color w:val="000000"/>
          <w:sz w:val="20"/>
          <w:szCs w:val="20"/>
          <w:lang w:eastAsia="ko-KR"/>
        </w:rPr>
        <w:t xml:space="preserve">detect via the </w:t>
      </w:r>
      <w:r>
        <w:rPr>
          <w:rFonts w:ascii="Arial" w:hAnsi="Arial" w:cs="Arial"/>
          <w:color w:val="000000"/>
          <w:sz w:val="20"/>
          <w:szCs w:val="20"/>
          <w:lang w:eastAsia="ko-KR"/>
        </w:rPr>
        <w:t>(</w:t>
      </w:r>
      <w:r w:rsidRPr="00D20F85">
        <w:rPr>
          <w:rFonts w:ascii="Arial" w:hAnsi="Arial" w:cs="Arial"/>
          <w:color w:val="000000"/>
          <w:sz w:val="20"/>
          <w:szCs w:val="20"/>
          <w:lang w:eastAsia="ko-KR"/>
        </w:rPr>
        <w:t>RedCap</w:t>
      </w:r>
      <w:r>
        <w:rPr>
          <w:rFonts w:ascii="Arial" w:hAnsi="Arial" w:cs="Arial"/>
          <w:color w:val="000000"/>
          <w:sz w:val="20"/>
          <w:szCs w:val="20"/>
          <w:lang w:eastAsia="ko-KR"/>
        </w:rPr>
        <w:t>)</w:t>
      </w:r>
      <w:r w:rsidRPr="00D20F85">
        <w:rPr>
          <w:rFonts w:ascii="Arial" w:hAnsi="Arial" w:cs="Arial"/>
          <w:color w:val="000000"/>
          <w:sz w:val="20"/>
          <w:szCs w:val="20"/>
          <w:lang w:eastAsia="ko-KR"/>
        </w:rPr>
        <w:t xml:space="preserve"> UE </w:t>
      </w:r>
      <w:r>
        <w:rPr>
          <w:rFonts w:ascii="Arial" w:hAnsi="Arial" w:cs="Arial"/>
          <w:color w:val="000000"/>
          <w:sz w:val="20"/>
          <w:szCs w:val="20"/>
          <w:lang w:eastAsia="ko-KR"/>
        </w:rPr>
        <w:t>Radio C</w:t>
      </w:r>
      <w:r w:rsidRPr="00D20F85">
        <w:rPr>
          <w:rFonts w:ascii="Arial" w:hAnsi="Arial" w:cs="Arial"/>
          <w:color w:val="000000"/>
          <w:sz w:val="20"/>
          <w:szCs w:val="20"/>
          <w:lang w:eastAsia="ko-KR"/>
        </w:rPr>
        <w:t>apabilities (e.g.</w:t>
      </w:r>
      <w:r>
        <w:rPr>
          <w:rFonts w:ascii="Arial" w:hAnsi="Arial" w:cs="Arial"/>
          <w:color w:val="000000"/>
          <w:sz w:val="20"/>
          <w:szCs w:val="20"/>
          <w:lang w:eastAsia="ko-KR"/>
        </w:rPr>
        <w:t>,</w:t>
      </w:r>
      <w:r w:rsidRPr="00D20F85">
        <w:rPr>
          <w:rFonts w:ascii="Arial" w:hAnsi="Arial" w:cs="Arial"/>
          <w:color w:val="000000"/>
          <w:sz w:val="20"/>
          <w:szCs w:val="20"/>
          <w:lang w:eastAsia="ko-KR"/>
        </w:rPr>
        <w:t xml:space="preserve"> at Handover preparation) that it cannot </w:t>
      </w:r>
      <w:r>
        <w:rPr>
          <w:rFonts w:ascii="Arial" w:hAnsi="Arial" w:cs="Arial"/>
          <w:color w:val="000000"/>
          <w:sz w:val="20"/>
          <w:szCs w:val="20"/>
          <w:lang w:eastAsia="ko-KR"/>
        </w:rPr>
        <w:t xml:space="preserve">configure or </w:t>
      </w:r>
      <w:r w:rsidRPr="00D20F85">
        <w:rPr>
          <w:rFonts w:ascii="Arial" w:hAnsi="Arial" w:cs="Arial"/>
          <w:color w:val="000000"/>
          <w:sz w:val="20"/>
          <w:szCs w:val="20"/>
          <w:lang w:eastAsia="ko-KR"/>
        </w:rPr>
        <w:t>serve RedCap UE</w:t>
      </w:r>
      <w:r>
        <w:rPr>
          <w:rFonts w:ascii="Arial" w:hAnsi="Arial" w:cs="Arial"/>
          <w:color w:val="000000"/>
          <w:sz w:val="20"/>
          <w:szCs w:val="20"/>
          <w:lang w:eastAsia="ko-KR"/>
        </w:rPr>
        <w:t>s. In this case the motivation is to consider a mechanism in RAN3</w:t>
      </w:r>
      <w:r w:rsidR="00835DFC">
        <w:rPr>
          <w:rFonts w:ascii="Arial" w:hAnsi="Arial" w:cs="Arial"/>
          <w:color w:val="000000"/>
          <w:sz w:val="20"/>
          <w:szCs w:val="20"/>
          <w:lang w:eastAsia="ko-KR"/>
        </w:rPr>
        <w:t xml:space="preserve"> in which a Rel-17 gNB can perceive, e.g., the support or barring by a neighbour gNB cell of RedCap UE via the handover preparation failure with signalling a proper cause value at XnAP level.</w:t>
      </w:r>
    </w:p>
    <w:p w14:paraId="1EB22DC5" w14:textId="578FDB6C" w:rsidR="00DC7E6F" w:rsidRPr="00DC7E6F" w:rsidRDefault="00835DFC" w:rsidP="00DC7E6F">
      <w:pPr>
        <w:jc w:val="both"/>
        <w:rPr>
          <w:rFonts w:ascii="Arial" w:hAnsi="Arial" w:cs="Arial"/>
          <w:sz w:val="20"/>
          <w:szCs w:val="20"/>
        </w:rPr>
      </w:pPr>
      <w:r>
        <w:rPr>
          <w:rFonts w:ascii="Arial" w:hAnsi="Arial" w:cs="Arial"/>
          <w:color w:val="000000"/>
          <w:sz w:val="20"/>
          <w:szCs w:val="20"/>
          <w:lang w:eastAsia="ko-KR"/>
        </w:rPr>
        <w:t>In RAN2#114-e, the following agreement was captured: “</w:t>
      </w:r>
      <w:r w:rsidRPr="00835DFC">
        <w:rPr>
          <w:rFonts w:ascii="Arial" w:hAnsi="Arial" w:cs="Arial"/>
          <w:color w:val="000000"/>
          <w:sz w:val="20"/>
          <w:szCs w:val="20"/>
          <w:lang w:eastAsia="ko-KR"/>
        </w:rPr>
        <w:t>The network needs to unambiguously know whether the UE is a RedCap or a non-RedCap UE from its reported UE capability information.</w:t>
      </w:r>
      <w:r>
        <w:rPr>
          <w:rFonts w:ascii="Arial" w:hAnsi="Arial" w:cs="Arial"/>
          <w:color w:val="000000"/>
          <w:sz w:val="20"/>
          <w:szCs w:val="20"/>
          <w:lang w:eastAsia="ko-KR"/>
        </w:rPr>
        <w:t>”. Based on this agreement one can say that it would not be possible for a legacy gNB to detect a RedCap UE</w:t>
      </w:r>
      <w:r w:rsidRPr="00D20F85">
        <w:rPr>
          <w:rFonts w:ascii="Arial" w:hAnsi="Arial" w:cs="Arial"/>
          <w:color w:val="000000"/>
          <w:sz w:val="20"/>
          <w:szCs w:val="20"/>
          <w:lang w:eastAsia="ko-KR"/>
        </w:rPr>
        <w:t xml:space="preserve"> via the </w:t>
      </w:r>
      <w:r>
        <w:rPr>
          <w:rFonts w:ascii="Arial" w:hAnsi="Arial" w:cs="Arial"/>
          <w:color w:val="000000"/>
          <w:sz w:val="20"/>
          <w:szCs w:val="20"/>
          <w:lang w:eastAsia="ko-KR"/>
        </w:rPr>
        <w:t>(</w:t>
      </w:r>
      <w:r w:rsidRPr="00D20F85">
        <w:rPr>
          <w:rFonts w:ascii="Arial" w:hAnsi="Arial" w:cs="Arial"/>
          <w:color w:val="000000"/>
          <w:sz w:val="20"/>
          <w:szCs w:val="20"/>
          <w:lang w:eastAsia="ko-KR"/>
        </w:rPr>
        <w:t>RedCap</w:t>
      </w:r>
      <w:r>
        <w:rPr>
          <w:rFonts w:ascii="Arial" w:hAnsi="Arial" w:cs="Arial"/>
          <w:color w:val="000000"/>
          <w:sz w:val="20"/>
          <w:szCs w:val="20"/>
          <w:lang w:eastAsia="ko-KR"/>
        </w:rPr>
        <w:t>)</w:t>
      </w:r>
      <w:r w:rsidRPr="00D20F85">
        <w:rPr>
          <w:rFonts w:ascii="Arial" w:hAnsi="Arial" w:cs="Arial"/>
          <w:color w:val="000000"/>
          <w:sz w:val="20"/>
          <w:szCs w:val="20"/>
          <w:lang w:eastAsia="ko-KR"/>
        </w:rPr>
        <w:t xml:space="preserve"> UE </w:t>
      </w:r>
      <w:r>
        <w:rPr>
          <w:rFonts w:ascii="Arial" w:hAnsi="Arial" w:cs="Arial"/>
          <w:color w:val="000000"/>
          <w:sz w:val="20"/>
          <w:szCs w:val="20"/>
          <w:lang w:eastAsia="ko-KR"/>
        </w:rPr>
        <w:t>Radio C</w:t>
      </w:r>
      <w:r w:rsidRPr="00D20F85">
        <w:rPr>
          <w:rFonts w:ascii="Arial" w:hAnsi="Arial" w:cs="Arial"/>
          <w:color w:val="000000"/>
          <w:sz w:val="20"/>
          <w:szCs w:val="20"/>
          <w:lang w:eastAsia="ko-KR"/>
        </w:rPr>
        <w:t>apabilities (e.g.</w:t>
      </w:r>
      <w:r w:rsidR="005A57BD">
        <w:rPr>
          <w:rFonts w:ascii="Arial" w:hAnsi="Arial" w:cs="Arial"/>
          <w:color w:val="000000"/>
          <w:sz w:val="20"/>
          <w:szCs w:val="20"/>
          <w:lang w:eastAsia="ko-KR"/>
        </w:rPr>
        <w:t>,</w:t>
      </w:r>
      <w:r w:rsidRPr="00D20F85">
        <w:rPr>
          <w:rFonts w:ascii="Arial" w:hAnsi="Arial" w:cs="Arial"/>
          <w:color w:val="000000"/>
          <w:sz w:val="20"/>
          <w:szCs w:val="20"/>
          <w:lang w:eastAsia="ko-KR"/>
        </w:rPr>
        <w:t xml:space="preserve"> at Handover preparation)</w:t>
      </w:r>
      <w:r w:rsidR="005A57BD">
        <w:rPr>
          <w:rFonts w:ascii="Arial" w:hAnsi="Arial" w:cs="Arial"/>
          <w:color w:val="000000"/>
          <w:sz w:val="20"/>
          <w:szCs w:val="20"/>
          <w:lang w:eastAsia="ko-KR"/>
        </w:rPr>
        <w:t xml:space="preserve">, so it will not be possible to </w:t>
      </w:r>
      <w:r>
        <w:rPr>
          <w:rFonts w:ascii="Arial" w:hAnsi="Arial" w:cs="Arial"/>
          <w:color w:val="000000"/>
          <w:sz w:val="20"/>
          <w:szCs w:val="20"/>
          <w:lang w:eastAsia="ko-KR"/>
        </w:rPr>
        <w:t xml:space="preserve">configure or </w:t>
      </w:r>
      <w:r w:rsidRPr="00D20F85">
        <w:rPr>
          <w:rFonts w:ascii="Arial" w:hAnsi="Arial" w:cs="Arial"/>
          <w:color w:val="000000"/>
          <w:sz w:val="20"/>
          <w:szCs w:val="20"/>
          <w:lang w:eastAsia="ko-KR"/>
        </w:rPr>
        <w:t>serve the RedCap UE</w:t>
      </w:r>
    </w:p>
    <w:p w14:paraId="655C09BF" w14:textId="77777777" w:rsidR="005A57BD" w:rsidRPr="00987105" w:rsidRDefault="005A57BD" w:rsidP="005A57BD">
      <w:pPr>
        <w:pStyle w:val="BodyText"/>
        <w:rPr>
          <w:sz w:val="20"/>
          <w:szCs w:val="20"/>
        </w:rPr>
      </w:pPr>
    </w:p>
    <w:p w14:paraId="607FFFF4" w14:textId="049C5D0A" w:rsidR="00DC7E6F" w:rsidRPr="00F95D24" w:rsidRDefault="005A57BD" w:rsidP="00F95D24">
      <w:pPr>
        <w:pStyle w:val="Observation"/>
        <w:rPr>
          <w:sz w:val="20"/>
          <w:szCs w:val="20"/>
        </w:rPr>
      </w:pPr>
      <w:bookmarkStart w:id="3" w:name="_Toc85764875"/>
      <w:r>
        <w:rPr>
          <w:rFonts w:cs="Arial"/>
          <w:color w:val="000000"/>
          <w:sz w:val="20"/>
          <w:szCs w:val="20"/>
          <w:lang w:eastAsia="ko-KR"/>
        </w:rPr>
        <w:t>A legacy gNB can not detect a RedCap UE</w:t>
      </w:r>
      <w:r w:rsidRPr="00D20F85">
        <w:rPr>
          <w:rFonts w:cs="Arial"/>
          <w:color w:val="000000"/>
          <w:sz w:val="20"/>
          <w:szCs w:val="20"/>
          <w:lang w:eastAsia="ko-KR"/>
        </w:rPr>
        <w:t xml:space="preserve"> via the </w:t>
      </w:r>
      <w:r>
        <w:rPr>
          <w:rFonts w:cs="Arial"/>
          <w:color w:val="000000"/>
          <w:sz w:val="20"/>
          <w:szCs w:val="20"/>
          <w:lang w:eastAsia="ko-KR"/>
        </w:rPr>
        <w:t>(</w:t>
      </w:r>
      <w:r w:rsidRPr="00D20F85">
        <w:rPr>
          <w:rFonts w:cs="Arial"/>
          <w:color w:val="000000"/>
          <w:sz w:val="20"/>
          <w:szCs w:val="20"/>
          <w:lang w:eastAsia="ko-KR"/>
        </w:rPr>
        <w:t>RedCap</w:t>
      </w:r>
      <w:r>
        <w:rPr>
          <w:rFonts w:cs="Arial"/>
          <w:color w:val="000000"/>
          <w:sz w:val="20"/>
          <w:szCs w:val="20"/>
          <w:lang w:eastAsia="ko-KR"/>
        </w:rPr>
        <w:t>)</w:t>
      </w:r>
      <w:r w:rsidRPr="00D20F85">
        <w:rPr>
          <w:rFonts w:cs="Arial"/>
          <w:color w:val="000000"/>
          <w:sz w:val="20"/>
          <w:szCs w:val="20"/>
          <w:lang w:eastAsia="ko-KR"/>
        </w:rPr>
        <w:t xml:space="preserve"> UE </w:t>
      </w:r>
      <w:r w:rsidR="00F95D24">
        <w:rPr>
          <w:rFonts w:cs="Arial"/>
          <w:color w:val="000000"/>
          <w:sz w:val="20"/>
          <w:szCs w:val="20"/>
          <w:lang w:eastAsia="ko-KR"/>
        </w:rPr>
        <w:t>r</w:t>
      </w:r>
      <w:r>
        <w:rPr>
          <w:rFonts w:cs="Arial"/>
          <w:color w:val="000000"/>
          <w:sz w:val="20"/>
          <w:szCs w:val="20"/>
          <w:lang w:eastAsia="ko-KR"/>
        </w:rPr>
        <w:t xml:space="preserve">adio </w:t>
      </w:r>
      <w:r w:rsidR="00F95D24">
        <w:rPr>
          <w:rFonts w:cs="Arial"/>
          <w:color w:val="000000"/>
          <w:sz w:val="20"/>
          <w:szCs w:val="20"/>
          <w:lang w:eastAsia="ko-KR"/>
        </w:rPr>
        <w:t>c</w:t>
      </w:r>
      <w:r w:rsidRPr="00D20F85">
        <w:rPr>
          <w:rFonts w:cs="Arial"/>
          <w:color w:val="000000"/>
          <w:sz w:val="20"/>
          <w:szCs w:val="20"/>
          <w:lang w:eastAsia="ko-KR"/>
        </w:rPr>
        <w:t>apabilities</w:t>
      </w:r>
      <w:r>
        <w:rPr>
          <w:rFonts w:cs="Arial"/>
          <w:color w:val="000000"/>
          <w:sz w:val="20"/>
          <w:szCs w:val="20"/>
          <w:lang w:eastAsia="ko-KR"/>
        </w:rPr>
        <w:t>.</w:t>
      </w:r>
      <w:bookmarkEnd w:id="3"/>
    </w:p>
    <w:p w14:paraId="298B1C04" w14:textId="77777777" w:rsidR="00DC7E6F" w:rsidRPr="00B73323" w:rsidRDefault="00DC7E6F" w:rsidP="00DC7E6F">
      <w:pPr>
        <w:pStyle w:val="Observation"/>
        <w:numPr>
          <w:ilvl w:val="0"/>
          <w:numId w:val="0"/>
        </w:numPr>
        <w:rPr>
          <w:sz w:val="20"/>
          <w:szCs w:val="20"/>
        </w:rPr>
      </w:pPr>
    </w:p>
    <w:p w14:paraId="2135F720" w14:textId="6E98E0CC" w:rsidR="00A70C45" w:rsidRPr="00F95D24" w:rsidRDefault="00F95D24" w:rsidP="00A70C45">
      <w:pPr>
        <w:pStyle w:val="Proposal"/>
        <w:tabs>
          <w:tab w:val="clear" w:pos="1304"/>
        </w:tabs>
        <w:ind w:left="1701" w:hanging="1701"/>
        <w:rPr>
          <w:sz w:val="20"/>
          <w:szCs w:val="20"/>
        </w:rPr>
      </w:pPr>
      <w:bookmarkStart w:id="4" w:name="_Toc85764886"/>
      <w:r>
        <w:rPr>
          <w:sz w:val="20"/>
          <w:szCs w:val="20"/>
        </w:rPr>
        <w:t>Observations 1 and 2 are to be captured in the reply LS to RAN3</w:t>
      </w:r>
      <w:bookmarkEnd w:id="4"/>
    </w:p>
    <w:p w14:paraId="4DACE454" w14:textId="77777777" w:rsidR="00305670" w:rsidRDefault="00305670" w:rsidP="00DA275B">
      <w:pPr>
        <w:overflowPunct w:val="0"/>
        <w:autoSpaceDE w:val="0"/>
        <w:autoSpaceDN w:val="0"/>
        <w:adjustRightInd w:val="0"/>
        <w:spacing w:after="180" w:line="240" w:lineRule="auto"/>
        <w:jc w:val="both"/>
        <w:textAlignment w:val="baseline"/>
        <w:rPr>
          <w:rFonts w:ascii="Arial" w:eastAsia="SimSun" w:hAnsi="Arial" w:cs="Arial"/>
          <w:sz w:val="20"/>
          <w:szCs w:val="20"/>
          <w:lang w:eastAsia="ja-JP"/>
        </w:rPr>
      </w:pPr>
    </w:p>
    <w:bookmarkEnd w:id="0"/>
    <w:p w14:paraId="1F1AC69A" w14:textId="654B77E4" w:rsidR="00987105" w:rsidRPr="00CE0424" w:rsidRDefault="001C2A70" w:rsidP="00987105">
      <w:pPr>
        <w:pStyle w:val="Heading1"/>
      </w:pPr>
      <w:r>
        <w:t>4</w:t>
      </w:r>
      <w:r w:rsidR="00987105">
        <w:tab/>
        <w:t>Conclusion</w:t>
      </w:r>
    </w:p>
    <w:p w14:paraId="3C0C63AB" w14:textId="2346CFA8" w:rsidR="008E065E" w:rsidRPr="00F95D24" w:rsidRDefault="00F95D24" w:rsidP="00F95D24">
      <w:pPr>
        <w:pStyle w:val="BodyText"/>
        <w:rPr>
          <w:sz w:val="20"/>
          <w:szCs w:val="20"/>
        </w:rPr>
      </w:pPr>
      <w:r>
        <w:rPr>
          <w:rFonts w:cs="Arial"/>
          <w:color w:val="000000"/>
          <w:sz w:val="20"/>
          <w:szCs w:val="20"/>
          <w:lang w:eastAsia="ko-KR"/>
        </w:rPr>
        <w:t>In this contribution we discuss the aspects that were brought up with the questions provided in the LS from RAN3.</w:t>
      </w:r>
      <w:r>
        <w:rPr>
          <w:sz w:val="20"/>
          <w:szCs w:val="20"/>
        </w:rPr>
        <w:t xml:space="preserve"> </w:t>
      </w:r>
      <w:r w:rsidR="001C2A70">
        <w:rPr>
          <w:sz w:val="20"/>
          <w:szCs w:val="20"/>
        </w:rPr>
        <w:t>The following observations have been made</w:t>
      </w:r>
      <w:r w:rsidR="008E065E" w:rsidRPr="00987105">
        <w:rPr>
          <w:sz w:val="20"/>
          <w:szCs w:val="20"/>
        </w:rPr>
        <w:t>:</w:t>
      </w:r>
      <w:r w:rsidR="00C93814" w:rsidRPr="00987105">
        <w:rPr>
          <w:b/>
          <w:bCs/>
          <w:sz w:val="20"/>
          <w:szCs w:val="20"/>
        </w:rPr>
        <w:t xml:space="preserve"> </w:t>
      </w:r>
    </w:p>
    <w:p w14:paraId="78041FC3" w14:textId="77777777" w:rsidR="001C2A70" w:rsidRPr="00F95D24" w:rsidRDefault="001C2A70" w:rsidP="00F95D24">
      <w:pPr>
        <w:pStyle w:val="BodyText"/>
        <w:rPr>
          <w:b/>
          <w:bCs/>
          <w:sz w:val="20"/>
          <w:szCs w:val="20"/>
        </w:rPr>
      </w:pPr>
    </w:p>
    <w:p w14:paraId="0CEEB9E2" w14:textId="2E2FC152" w:rsidR="00F95D24" w:rsidRPr="00F95D24" w:rsidRDefault="001C2A70" w:rsidP="00F95D24">
      <w:pPr>
        <w:pStyle w:val="TableofFigures"/>
        <w:tabs>
          <w:tab w:val="right" w:leader="dot" w:pos="9629"/>
        </w:tabs>
        <w:jc w:val="both"/>
        <w:rPr>
          <w:rFonts w:asciiTheme="minorHAnsi" w:eastAsiaTheme="minorEastAsia" w:hAnsiTheme="minorHAnsi"/>
          <w:b w:val="0"/>
          <w:sz w:val="20"/>
          <w:szCs w:val="20"/>
          <w:lang w:eastAsia="en-GB"/>
        </w:rPr>
      </w:pPr>
      <w:r w:rsidRPr="00F95D24">
        <w:rPr>
          <w:b w:val="0"/>
          <w:bCs/>
          <w:sz w:val="20"/>
          <w:szCs w:val="20"/>
        </w:rPr>
        <w:fldChar w:fldCharType="begin"/>
      </w:r>
      <w:r w:rsidRPr="00F95D24">
        <w:rPr>
          <w:b w:val="0"/>
          <w:bCs/>
          <w:sz w:val="20"/>
          <w:szCs w:val="20"/>
        </w:rPr>
        <w:instrText xml:space="preserve"> TOC \f O \n \h \z \t "Observation" \c </w:instrText>
      </w:r>
      <w:r w:rsidRPr="00F95D24">
        <w:rPr>
          <w:b w:val="0"/>
          <w:bCs/>
          <w:sz w:val="20"/>
          <w:szCs w:val="20"/>
        </w:rPr>
        <w:fldChar w:fldCharType="separate"/>
      </w:r>
      <w:hyperlink w:anchor="_Toc85764874" w:history="1">
        <w:r w:rsidR="00F95D24" w:rsidRPr="00F95D24">
          <w:rPr>
            <w:rStyle w:val="Hyperlink"/>
            <w:sz w:val="20"/>
            <w:szCs w:val="20"/>
          </w:rPr>
          <w:t>Observation 1</w:t>
        </w:r>
        <w:r w:rsidR="00F95D24" w:rsidRPr="00F95D24">
          <w:rPr>
            <w:rFonts w:asciiTheme="minorHAnsi" w:eastAsiaTheme="minorEastAsia" w:hAnsiTheme="minorHAnsi"/>
            <w:b w:val="0"/>
            <w:sz w:val="20"/>
            <w:szCs w:val="20"/>
            <w:lang w:eastAsia="en-GB"/>
          </w:rPr>
          <w:tab/>
        </w:r>
        <w:r w:rsidR="00F95D24" w:rsidRPr="00F95D24">
          <w:rPr>
            <w:rStyle w:val="Hyperlink"/>
            <w:rFonts w:cs="Arial"/>
            <w:sz w:val="20"/>
            <w:szCs w:val="20"/>
            <w:lang w:eastAsia="ko-KR"/>
          </w:rPr>
          <w:t>RedCap UEs should not attempt to camp/access in legacy cells or be handed over to such cells</w:t>
        </w:r>
        <w:r w:rsidR="00F95D24" w:rsidRPr="00F95D24">
          <w:rPr>
            <w:rStyle w:val="Hyperlink"/>
            <w:rFonts w:eastAsia="SimSun" w:cs="Arial"/>
            <w:sz w:val="20"/>
            <w:szCs w:val="20"/>
          </w:rPr>
          <w:t>.</w:t>
        </w:r>
      </w:hyperlink>
    </w:p>
    <w:p w14:paraId="3D5DBC8A" w14:textId="3212768F" w:rsidR="00F95D24" w:rsidRPr="00F95D24" w:rsidRDefault="00D930DE" w:rsidP="00F95D24">
      <w:pPr>
        <w:pStyle w:val="TableofFigures"/>
        <w:tabs>
          <w:tab w:val="right" w:leader="dot" w:pos="9629"/>
        </w:tabs>
        <w:jc w:val="both"/>
        <w:rPr>
          <w:rFonts w:asciiTheme="minorHAnsi" w:eastAsiaTheme="minorEastAsia" w:hAnsiTheme="minorHAnsi"/>
          <w:b w:val="0"/>
          <w:sz w:val="20"/>
          <w:szCs w:val="20"/>
          <w:lang w:eastAsia="en-GB"/>
        </w:rPr>
      </w:pPr>
      <w:hyperlink w:anchor="_Toc85764875" w:history="1">
        <w:r w:rsidR="00F95D24" w:rsidRPr="00F95D24">
          <w:rPr>
            <w:rStyle w:val="Hyperlink"/>
            <w:sz w:val="20"/>
            <w:szCs w:val="20"/>
          </w:rPr>
          <w:t>Observation 2</w:t>
        </w:r>
        <w:r w:rsidR="00F95D24" w:rsidRPr="00F95D24">
          <w:rPr>
            <w:rFonts w:asciiTheme="minorHAnsi" w:eastAsiaTheme="minorEastAsia" w:hAnsiTheme="minorHAnsi"/>
            <w:b w:val="0"/>
            <w:sz w:val="20"/>
            <w:szCs w:val="20"/>
            <w:lang w:eastAsia="en-GB"/>
          </w:rPr>
          <w:tab/>
        </w:r>
        <w:r w:rsidR="00F95D24" w:rsidRPr="00F95D24">
          <w:rPr>
            <w:rStyle w:val="Hyperlink"/>
            <w:rFonts w:cs="Arial"/>
            <w:sz w:val="20"/>
            <w:szCs w:val="20"/>
            <w:lang w:eastAsia="ko-KR"/>
          </w:rPr>
          <w:t>A legacy gNB can not detect a RedCap UE via the (RedCap) UE radio capabilities.</w:t>
        </w:r>
      </w:hyperlink>
    </w:p>
    <w:p w14:paraId="68E461AE" w14:textId="77777777" w:rsidR="00F95D24" w:rsidRDefault="001C2A70" w:rsidP="00F95D24">
      <w:pPr>
        <w:pStyle w:val="BodyText"/>
        <w:rPr>
          <w:b/>
          <w:bCs/>
          <w:sz w:val="20"/>
          <w:szCs w:val="20"/>
        </w:rPr>
      </w:pPr>
      <w:r w:rsidRPr="00F95D24">
        <w:rPr>
          <w:b/>
          <w:bCs/>
          <w:sz w:val="20"/>
          <w:szCs w:val="20"/>
        </w:rPr>
        <w:fldChar w:fldCharType="end"/>
      </w:r>
    </w:p>
    <w:p w14:paraId="3A82D5E6" w14:textId="143FA688" w:rsidR="006E1C82" w:rsidRPr="00F95D24" w:rsidRDefault="008E065E" w:rsidP="00F95D24">
      <w:pPr>
        <w:pStyle w:val="BodyText"/>
        <w:rPr>
          <w:sz w:val="20"/>
          <w:szCs w:val="20"/>
        </w:rPr>
      </w:pPr>
      <w:r w:rsidRPr="00F95D24">
        <w:rPr>
          <w:sz w:val="20"/>
          <w:szCs w:val="20"/>
        </w:rPr>
        <w:t xml:space="preserve">Based on the discussion in </w:t>
      </w:r>
      <w:r w:rsidR="007729A2" w:rsidRPr="00F95D24">
        <w:rPr>
          <w:sz w:val="20"/>
          <w:szCs w:val="20"/>
        </w:rPr>
        <w:t xml:space="preserve">the previous </w:t>
      </w:r>
      <w:r w:rsidRPr="00F95D24">
        <w:rPr>
          <w:sz w:val="20"/>
          <w:szCs w:val="20"/>
        </w:rPr>
        <w:t>section</w:t>
      </w:r>
      <w:r w:rsidR="007729A2" w:rsidRPr="00F95D24">
        <w:rPr>
          <w:sz w:val="20"/>
          <w:szCs w:val="20"/>
        </w:rPr>
        <w:t>s</w:t>
      </w:r>
      <w:r w:rsidRPr="00F95D24">
        <w:rPr>
          <w:sz w:val="20"/>
          <w:szCs w:val="20"/>
        </w:rPr>
        <w:t xml:space="preserve"> we propose the following:</w:t>
      </w:r>
    </w:p>
    <w:p w14:paraId="49C04D9F" w14:textId="77777777" w:rsidR="001C2A70" w:rsidRPr="00F95D24" w:rsidRDefault="001C2A70" w:rsidP="00F95D24">
      <w:pPr>
        <w:pStyle w:val="BodyText"/>
        <w:rPr>
          <w:b/>
          <w:bCs/>
          <w:sz w:val="20"/>
          <w:szCs w:val="20"/>
        </w:rPr>
      </w:pPr>
    </w:p>
    <w:p w14:paraId="72F8E4EB" w14:textId="3AE07E97" w:rsidR="00F95D24" w:rsidRPr="00F95D24" w:rsidRDefault="006E1C82" w:rsidP="00F95D24">
      <w:pPr>
        <w:pStyle w:val="TableofFigures"/>
        <w:tabs>
          <w:tab w:val="right" w:leader="dot" w:pos="9629"/>
        </w:tabs>
        <w:jc w:val="both"/>
        <w:rPr>
          <w:rFonts w:asciiTheme="minorHAnsi" w:eastAsiaTheme="minorEastAsia" w:hAnsiTheme="minorHAnsi"/>
          <w:b w:val="0"/>
          <w:sz w:val="20"/>
          <w:szCs w:val="20"/>
          <w:lang w:eastAsia="en-GB"/>
        </w:rPr>
      </w:pPr>
      <w:r w:rsidRPr="00F95D24">
        <w:rPr>
          <w:b w:val="0"/>
          <w:bCs/>
          <w:sz w:val="20"/>
          <w:szCs w:val="20"/>
        </w:rPr>
        <w:fldChar w:fldCharType="begin"/>
      </w:r>
      <w:r w:rsidRPr="00F95D24">
        <w:rPr>
          <w:b w:val="0"/>
          <w:bCs/>
          <w:sz w:val="20"/>
          <w:szCs w:val="20"/>
        </w:rPr>
        <w:instrText xml:space="preserve"> TOC \n \h \z \t "Proposal" \c </w:instrText>
      </w:r>
      <w:r w:rsidRPr="00F95D24">
        <w:rPr>
          <w:b w:val="0"/>
          <w:bCs/>
          <w:sz w:val="20"/>
          <w:szCs w:val="20"/>
        </w:rPr>
        <w:fldChar w:fldCharType="separate"/>
      </w:r>
      <w:hyperlink w:anchor="_Toc85764886" w:history="1">
        <w:r w:rsidR="00F95D24" w:rsidRPr="00F95D24">
          <w:rPr>
            <w:rStyle w:val="Hyperlink"/>
            <w:sz w:val="20"/>
            <w:szCs w:val="20"/>
          </w:rPr>
          <w:t>Proposal 1</w:t>
        </w:r>
        <w:r w:rsidR="00F95D24" w:rsidRPr="00F95D24">
          <w:rPr>
            <w:rFonts w:asciiTheme="minorHAnsi" w:eastAsiaTheme="minorEastAsia" w:hAnsiTheme="minorHAnsi"/>
            <w:b w:val="0"/>
            <w:sz w:val="20"/>
            <w:szCs w:val="20"/>
            <w:lang w:eastAsia="en-GB"/>
          </w:rPr>
          <w:tab/>
        </w:r>
        <w:r w:rsidR="00F95D24" w:rsidRPr="00F95D24">
          <w:rPr>
            <w:rStyle w:val="Hyperlink"/>
            <w:sz w:val="20"/>
            <w:szCs w:val="20"/>
          </w:rPr>
          <w:t>Observations 1 and 2 are to be captured in the reply LS to RAN3</w:t>
        </w:r>
      </w:hyperlink>
    </w:p>
    <w:p w14:paraId="26EBCCF9" w14:textId="5172F817" w:rsidR="00C01F33" w:rsidRPr="009C2D28" w:rsidRDefault="006E1C82" w:rsidP="00F95D24">
      <w:pPr>
        <w:pStyle w:val="BodyText"/>
        <w:rPr>
          <w:b/>
          <w:bCs/>
        </w:rPr>
      </w:pPr>
      <w:r w:rsidRPr="00F95D24">
        <w:rPr>
          <w:b/>
          <w:bCs/>
          <w:sz w:val="20"/>
          <w:szCs w:val="20"/>
        </w:rPr>
        <w:fldChar w:fldCharType="end"/>
      </w:r>
    </w:p>
    <w:p w14:paraId="3F23459F" w14:textId="77777777" w:rsidR="00F507D1" w:rsidRPr="00CE0424" w:rsidRDefault="00F507D1" w:rsidP="00CE0424">
      <w:pPr>
        <w:pStyle w:val="Heading1"/>
      </w:pPr>
      <w:bookmarkStart w:id="5" w:name="_In-sequence_SDU_delivery"/>
      <w:bookmarkEnd w:id="5"/>
      <w:r w:rsidRPr="00CE0424">
        <w:t>References</w:t>
      </w:r>
    </w:p>
    <w:p w14:paraId="03BE2943" w14:textId="0BF64511" w:rsidR="003A7EF3" w:rsidRPr="00D0503E" w:rsidRDefault="00F95D24" w:rsidP="00CE0424">
      <w:pPr>
        <w:pStyle w:val="Reference"/>
        <w:rPr>
          <w:sz w:val="20"/>
          <w:szCs w:val="20"/>
        </w:rPr>
      </w:pPr>
      <w:bookmarkStart w:id="6" w:name="_Ref49798330"/>
      <w:bookmarkStart w:id="7" w:name="_Ref45286859"/>
      <w:bookmarkStart w:id="8" w:name="_Ref174151459"/>
      <w:bookmarkStart w:id="9" w:name="_Ref189809556"/>
      <w:r>
        <w:rPr>
          <w:sz w:val="20"/>
          <w:szCs w:val="20"/>
        </w:rPr>
        <w:t>R3-214422</w:t>
      </w:r>
      <w:r w:rsidR="007C7EF8" w:rsidRPr="00D0503E">
        <w:rPr>
          <w:sz w:val="20"/>
          <w:szCs w:val="20"/>
        </w:rPr>
        <w:t xml:space="preserve">, </w:t>
      </w:r>
      <w:r w:rsidR="009B7509">
        <w:rPr>
          <w:sz w:val="20"/>
          <w:szCs w:val="20"/>
        </w:rPr>
        <w:t>“</w:t>
      </w:r>
      <w:r w:rsidR="009B7509" w:rsidRPr="009B7509">
        <w:rPr>
          <w:sz w:val="20"/>
          <w:szCs w:val="20"/>
        </w:rPr>
        <w:t>Reply LS on the coordination between gNBs on the supporting of RedCap UEs</w:t>
      </w:r>
      <w:r w:rsidR="009B7509">
        <w:rPr>
          <w:sz w:val="20"/>
          <w:szCs w:val="20"/>
        </w:rPr>
        <w:t>”</w:t>
      </w:r>
      <w:r w:rsidR="007C7EF8" w:rsidRPr="00D0503E">
        <w:rPr>
          <w:sz w:val="20"/>
          <w:szCs w:val="20"/>
        </w:rPr>
        <w:t xml:space="preserve">, </w:t>
      </w:r>
      <w:r w:rsidR="009B7509">
        <w:rPr>
          <w:sz w:val="20"/>
          <w:szCs w:val="20"/>
        </w:rPr>
        <w:t xml:space="preserve">Ericsson, </w:t>
      </w:r>
      <w:r w:rsidR="007C7EF8" w:rsidRPr="00D0503E">
        <w:rPr>
          <w:sz w:val="20"/>
          <w:szCs w:val="20"/>
        </w:rPr>
        <w:t>RAN#90</w:t>
      </w:r>
      <w:r w:rsidR="00D0503E">
        <w:rPr>
          <w:sz w:val="20"/>
          <w:szCs w:val="20"/>
        </w:rPr>
        <w:t>-e</w:t>
      </w:r>
      <w:r w:rsidR="009823D1">
        <w:rPr>
          <w:sz w:val="20"/>
          <w:szCs w:val="20"/>
        </w:rPr>
        <w:t>,</w:t>
      </w:r>
      <w:r w:rsidR="007C7EF8" w:rsidRPr="00D0503E">
        <w:rPr>
          <w:sz w:val="20"/>
          <w:szCs w:val="20"/>
        </w:rPr>
        <w:t xml:space="preserve"> Dec 2020</w:t>
      </w:r>
      <w:bookmarkEnd w:id="6"/>
      <w:r w:rsidR="004D4967" w:rsidRPr="00D0503E">
        <w:rPr>
          <w:sz w:val="20"/>
          <w:szCs w:val="20"/>
        </w:rPr>
        <w:t>.</w:t>
      </w:r>
      <w:bookmarkEnd w:id="7"/>
      <w:bookmarkEnd w:id="8"/>
      <w:bookmarkEnd w:id="9"/>
    </w:p>
    <w:p w14:paraId="7264AE6F" w14:textId="40964DD8" w:rsidR="007B1B3D" w:rsidRPr="00062A26" w:rsidRDefault="007B1B3D" w:rsidP="00F95D24">
      <w:pPr>
        <w:pStyle w:val="Reference"/>
        <w:numPr>
          <w:ilvl w:val="0"/>
          <w:numId w:val="0"/>
        </w:numPr>
        <w:ind w:left="567"/>
      </w:pPr>
    </w:p>
    <w:sectPr w:rsidR="007B1B3D" w:rsidRPr="00062A2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7F24C7" w14:textId="77777777" w:rsidR="00734C13" w:rsidRDefault="00734C13">
      <w:r>
        <w:separator/>
      </w:r>
    </w:p>
  </w:endnote>
  <w:endnote w:type="continuationSeparator" w:id="0">
    <w:p w14:paraId="775914D0" w14:textId="77777777" w:rsidR="00734C13" w:rsidRDefault="00734C13">
      <w:r>
        <w:continuationSeparator/>
      </w:r>
    </w:p>
  </w:endnote>
  <w:endnote w:type="continuationNotice" w:id="1">
    <w:p w14:paraId="69AEED97" w14:textId="77777777" w:rsidR="00734C13" w:rsidRDefault="00734C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951F2" w14:textId="77777777" w:rsidR="00734C13" w:rsidRDefault="00734C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53981D" w14:textId="77777777" w:rsidR="00734C13" w:rsidRDefault="00734C13">
      <w:r>
        <w:separator/>
      </w:r>
    </w:p>
  </w:footnote>
  <w:footnote w:type="continuationSeparator" w:id="0">
    <w:p w14:paraId="685C10AB" w14:textId="77777777" w:rsidR="00734C13" w:rsidRDefault="00734C13">
      <w:r>
        <w:continuationSeparator/>
      </w:r>
    </w:p>
  </w:footnote>
  <w:footnote w:type="continuationNotice" w:id="1">
    <w:p w14:paraId="0A2E0685" w14:textId="77777777" w:rsidR="00734C13" w:rsidRDefault="00734C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9FE2" w14:textId="77777777" w:rsidR="00734C13" w:rsidRDefault="00734C1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515DBA"/>
    <w:multiLevelType w:val="hybridMultilevel"/>
    <w:tmpl w:val="FF0E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57853"/>
    <w:multiLevelType w:val="hybridMultilevel"/>
    <w:tmpl w:val="95127C4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8D0820"/>
    <w:multiLevelType w:val="hybridMultilevel"/>
    <w:tmpl w:val="1DC2EC6C"/>
    <w:lvl w:ilvl="0" w:tplc="B216846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1190F"/>
    <w:multiLevelType w:val="hybridMultilevel"/>
    <w:tmpl w:val="39F82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2811489"/>
    <w:multiLevelType w:val="hybridMultilevel"/>
    <w:tmpl w:val="0D4A1156"/>
    <w:lvl w:ilvl="0" w:tplc="66D6C024">
      <w:start w:val="1"/>
      <w:numFmt w:val="bullet"/>
      <w:lvlText w:val="—"/>
      <w:lvlJc w:val="left"/>
      <w:pPr>
        <w:tabs>
          <w:tab w:val="num" w:pos="720"/>
        </w:tabs>
        <w:ind w:left="720" w:hanging="360"/>
      </w:pPr>
      <w:rPr>
        <w:rFonts w:ascii="Ericsson Hilda Light" w:hAnsi="Ericsson Hilda Light" w:hint="default"/>
      </w:rPr>
    </w:lvl>
    <w:lvl w:ilvl="1" w:tplc="BF72287E">
      <w:start w:val="1"/>
      <w:numFmt w:val="bullet"/>
      <w:lvlText w:val="—"/>
      <w:lvlJc w:val="left"/>
      <w:pPr>
        <w:tabs>
          <w:tab w:val="num" w:pos="1440"/>
        </w:tabs>
        <w:ind w:left="1440" w:hanging="360"/>
      </w:pPr>
      <w:rPr>
        <w:rFonts w:ascii="Ericsson Hilda Light" w:hAnsi="Ericsson Hilda Light" w:hint="default"/>
      </w:rPr>
    </w:lvl>
    <w:lvl w:ilvl="2" w:tplc="D5302E14" w:tentative="1">
      <w:start w:val="1"/>
      <w:numFmt w:val="bullet"/>
      <w:lvlText w:val="—"/>
      <w:lvlJc w:val="left"/>
      <w:pPr>
        <w:tabs>
          <w:tab w:val="num" w:pos="2160"/>
        </w:tabs>
        <w:ind w:left="2160" w:hanging="360"/>
      </w:pPr>
      <w:rPr>
        <w:rFonts w:ascii="Ericsson Hilda Light" w:hAnsi="Ericsson Hilda Light" w:hint="default"/>
      </w:rPr>
    </w:lvl>
    <w:lvl w:ilvl="3" w:tplc="4290EBEE" w:tentative="1">
      <w:start w:val="1"/>
      <w:numFmt w:val="bullet"/>
      <w:lvlText w:val="—"/>
      <w:lvlJc w:val="left"/>
      <w:pPr>
        <w:tabs>
          <w:tab w:val="num" w:pos="2880"/>
        </w:tabs>
        <w:ind w:left="2880" w:hanging="360"/>
      </w:pPr>
      <w:rPr>
        <w:rFonts w:ascii="Ericsson Hilda Light" w:hAnsi="Ericsson Hilda Light" w:hint="default"/>
      </w:rPr>
    </w:lvl>
    <w:lvl w:ilvl="4" w:tplc="BD62E106" w:tentative="1">
      <w:start w:val="1"/>
      <w:numFmt w:val="bullet"/>
      <w:lvlText w:val="—"/>
      <w:lvlJc w:val="left"/>
      <w:pPr>
        <w:tabs>
          <w:tab w:val="num" w:pos="3600"/>
        </w:tabs>
        <w:ind w:left="3600" w:hanging="360"/>
      </w:pPr>
      <w:rPr>
        <w:rFonts w:ascii="Ericsson Hilda Light" w:hAnsi="Ericsson Hilda Light" w:hint="default"/>
      </w:rPr>
    </w:lvl>
    <w:lvl w:ilvl="5" w:tplc="2E2E151E" w:tentative="1">
      <w:start w:val="1"/>
      <w:numFmt w:val="bullet"/>
      <w:lvlText w:val="—"/>
      <w:lvlJc w:val="left"/>
      <w:pPr>
        <w:tabs>
          <w:tab w:val="num" w:pos="4320"/>
        </w:tabs>
        <w:ind w:left="4320" w:hanging="360"/>
      </w:pPr>
      <w:rPr>
        <w:rFonts w:ascii="Ericsson Hilda Light" w:hAnsi="Ericsson Hilda Light" w:hint="default"/>
      </w:rPr>
    </w:lvl>
    <w:lvl w:ilvl="6" w:tplc="6DD63CDE" w:tentative="1">
      <w:start w:val="1"/>
      <w:numFmt w:val="bullet"/>
      <w:lvlText w:val="—"/>
      <w:lvlJc w:val="left"/>
      <w:pPr>
        <w:tabs>
          <w:tab w:val="num" w:pos="5040"/>
        </w:tabs>
        <w:ind w:left="5040" w:hanging="360"/>
      </w:pPr>
      <w:rPr>
        <w:rFonts w:ascii="Ericsson Hilda Light" w:hAnsi="Ericsson Hilda Light" w:hint="default"/>
      </w:rPr>
    </w:lvl>
    <w:lvl w:ilvl="7" w:tplc="79123C26" w:tentative="1">
      <w:start w:val="1"/>
      <w:numFmt w:val="bullet"/>
      <w:lvlText w:val="—"/>
      <w:lvlJc w:val="left"/>
      <w:pPr>
        <w:tabs>
          <w:tab w:val="num" w:pos="5760"/>
        </w:tabs>
        <w:ind w:left="5760" w:hanging="360"/>
      </w:pPr>
      <w:rPr>
        <w:rFonts w:ascii="Ericsson Hilda Light" w:hAnsi="Ericsson Hilda Light" w:hint="default"/>
      </w:rPr>
    </w:lvl>
    <w:lvl w:ilvl="8" w:tplc="11F64A92" w:tentative="1">
      <w:start w:val="1"/>
      <w:numFmt w:val="bullet"/>
      <w:lvlText w:val="—"/>
      <w:lvlJc w:val="left"/>
      <w:pPr>
        <w:tabs>
          <w:tab w:val="num" w:pos="6480"/>
        </w:tabs>
        <w:ind w:left="6480" w:hanging="360"/>
      </w:pPr>
      <w:rPr>
        <w:rFonts w:ascii="Ericsson Hilda Light" w:hAnsi="Ericsson Hilda Light" w:hint="default"/>
      </w:rPr>
    </w:lvl>
  </w:abstractNum>
  <w:abstractNum w:abstractNumId="11" w15:restartNumberingAfterBreak="0">
    <w:nsid w:val="16D403D8"/>
    <w:multiLevelType w:val="hybridMultilevel"/>
    <w:tmpl w:val="EE98D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594A79"/>
    <w:multiLevelType w:val="hybridMultilevel"/>
    <w:tmpl w:val="F4F4C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8D4D52"/>
    <w:multiLevelType w:val="hybridMultilevel"/>
    <w:tmpl w:val="1884E242"/>
    <w:lvl w:ilvl="0" w:tplc="89B2FE78">
      <w:start w:val="1"/>
      <w:numFmt w:val="bullet"/>
      <w:lvlText w:val="●"/>
      <w:lvlJc w:val="left"/>
      <w:pPr>
        <w:tabs>
          <w:tab w:val="num" w:pos="360"/>
        </w:tabs>
        <w:ind w:left="360" w:hanging="360"/>
      </w:pPr>
      <w:rPr>
        <w:rFonts w:ascii="Ericsson Hilda" w:hAnsi="Ericsson Hilda" w:hint="default"/>
      </w:rPr>
    </w:lvl>
    <w:lvl w:ilvl="1" w:tplc="FC68BA2E" w:tentative="1">
      <w:start w:val="1"/>
      <w:numFmt w:val="bullet"/>
      <w:lvlText w:val="●"/>
      <w:lvlJc w:val="left"/>
      <w:pPr>
        <w:tabs>
          <w:tab w:val="num" w:pos="1080"/>
        </w:tabs>
        <w:ind w:left="1080" w:hanging="360"/>
      </w:pPr>
      <w:rPr>
        <w:rFonts w:ascii="Ericsson Hilda" w:hAnsi="Ericsson Hilda" w:hint="default"/>
      </w:rPr>
    </w:lvl>
    <w:lvl w:ilvl="2" w:tplc="1018BE04" w:tentative="1">
      <w:start w:val="1"/>
      <w:numFmt w:val="bullet"/>
      <w:lvlText w:val="●"/>
      <w:lvlJc w:val="left"/>
      <w:pPr>
        <w:tabs>
          <w:tab w:val="num" w:pos="1800"/>
        </w:tabs>
        <w:ind w:left="1800" w:hanging="360"/>
      </w:pPr>
      <w:rPr>
        <w:rFonts w:ascii="Ericsson Hilda" w:hAnsi="Ericsson Hilda" w:hint="default"/>
      </w:rPr>
    </w:lvl>
    <w:lvl w:ilvl="3" w:tplc="1F66F61E" w:tentative="1">
      <w:start w:val="1"/>
      <w:numFmt w:val="bullet"/>
      <w:lvlText w:val="●"/>
      <w:lvlJc w:val="left"/>
      <w:pPr>
        <w:tabs>
          <w:tab w:val="num" w:pos="2520"/>
        </w:tabs>
        <w:ind w:left="2520" w:hanging="360"/>
      </w:pPr>
      <w:rPr>
        <w:rFonts w:ascii="Ericsson Hilda" w:hAnsi="Ericsson Hilda" w:hint="default"/>
      </w:rPr>
    </w:lvl>
    <w:lvl w:ilvl="4" w:tplc="66540264" w:tentative="1">
      <w:start w:val="1"/>
      <w:numFmt w:val="bullet"/>
      <w:lvlText w:val="●"/>
      <w:lvlJc w:val="left"/>
      <w:pPr>
        <w:tabs>
          <w:tab w:val="num" w:pos="3240"/>
        </w:tabs>
        <w:ind w:left="3240" w:hanging="360"/>
      </w:pPr>
      <w:rPr>
        <w:rFonts w:ascii="Ericsson Hilda" w:hAnsi="Ericsson Hilda" w:hint="default"/>
      </w:rPr>
    </w:lvl>
    <w:lvl w:ilvl="5" w:tplc="2626CACA" w:tentative="1">
      <w:start w:val="1"/>
      <w:numFmt w:val="bullet"/>
      <w:lvlText w:val="●"/>
      <w:lvlJc w:val="left"/>
      <w:pPr>
        <w:tabs>
          <w:tab w:val="num" w:pos="3960"/>
        </w:tabs>
        <w:ind w:left="3960" w:hanging="360"/>
      </w:pPr>
      <w:rPr>
        <w:rFonts w:ascii="Ericsson Hilda" w:hAnsi="Ericsson Hilda" w:hint="default"/>
      </w:rPr>
    </w:lvl>
    <w:lvl w:ilvl="6" w:tplc="32FEB552" w:tentative="1">
      <w:start w:val="1"/>
      <w:numFmt w:val="bullet"/>
      <w:lvlText w:val="●"/>
      <w:lvlJc w:val="left"/>
      <w:pPr>
        <w:tabs>
          <w:tab w:val="num" w:pos="4680"/>
        </w:tabs>
        <w:ind w:left="4680" w:hanging="360"/>
      </w:pPr>
      <w:rPr>
        <w:rFonts w:ascii="Ericsson Hilda" w:hAnsi="Ericsson Hilda" w:hint="default"/>
      </w:rPr>
    </w:lvl>
    <w:lvl w:ilvl="7" w:tplc="78EEA42C" w:tentative="1">
      <w:start w:val="1"/>
      <w:numFmt w:val="bullet"/>
      <w:lvlText w:val="●"/>
      <w:lvlJc w:val="left"/>
      <w:pPr>
        <w:tabs>
          <w:tab w:val="num" w:pos="5400"/>
        </w:tabs>
        <w:ind w:left="5400" w:hanging="360"/>
      </w:pPr>
      <w:rPr>
        <w:rFonts w:ascii="Ericsson Hilda" w:hAnsi="Ericsson Hilda" w:hint="default"/>
      </w:rPr>
    </w:lvl>
    <w:lvl w:ilvl="8" w:tplc="C7246942"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11158C"/>
    <w:multiLevelType w:val="hybridMultilevel"/>
    <w:tmpl w:val="A66CEAE8"/>
    <w:lvl w:ilvl="0" w:tplc="84AC5D4E">
      <w:start w:val="1"/>
      <w:numFmt w:val="bullet"/>
      <w:lvlText w:val="—"/>
      <w:lvlJc w:val="left"/>
      <w:pPr>
        <w:tabs>
          <w:tab w:val="num" w:pos="720"/>
        </w:tabs>
        <w:ind w:left="720" w:hanging="360"/>
      </w:pPr>
      <w:rPr>
        <w:rFonts w:ascii="Ericsson Hilda Light" w:hAnsi="Ericsson Hilda Light" w:hint="default"/>
      </w:rPr>
    </w:lvl>
    <w:lvl w:ilvl="1" w:tplc="09E6FC66">
      <w:start w:val="1"/>
      <w:numFmt w:val="bullet"/>
      <w:lvlText w:val="—"/>
      <w:lvlJc w:val="left"/>
      <w:pPr>
        <w:tabs>
          <w:tab w:val="num" w:pos="1440"/>
        </w:tabs>
        <w:ind w:left="1440" w:hanging="360"/>
      </w:pPr>
      <w:rPr>
        <w:rFonts w:ascii="Ericsson Hilda Light" w:hAnsi="Ericsson Hilda Light" w:hint="default"/>
      </w:rPr>
    </w:lvl>
    <w:lvl w:ilvl="2" w:tplc="68AA99DA">
      <w:start w:val="1"/>
      <w:numFmt w:val="bullet"/>
      <w:lvlText w:val="—"/>
      <w:lvlJc w:val="left"/>
      <w:pPr>
        <w:tabs>
          <w:tab w:val="num" w:pos="2160"/>
        </w:tabs>
        <w:ind w:left="2160" w:hanging="360"/>
      </w:pPr>
      <w:rPr>
        <w:rFonts w:ascii="Ericsson Hilda Light" w:hAnsi="Ericsson Hilda Light" w:hint="default"/>
      </w:rPr>
    </w:lvl>
    <w:lvl w:ilvl="3" w:tplc="D8E20624">
      <w:numFmt w:val="bullet"/>
      <w:lvlText w:val="—"/>
      <w:lvlJc w:val="left"/>
      <w:pPr>
        <w:tabs>
          <w:tab w:val="num" w:pos="2880"/>
        </w:tabs>
        <w:ind w:left="2880" w:hanging="360"/>
      </w:pPr>
      <w:rPr>
        <w:rFonts w:ascii="Ericsson Hilda Light" w:hAnsi="Ericsson Hilda Light" w:hint="default"/>
      </w:rPr>
    </w:lvl>
    <w:lvl w:ilvl="4" w:tplc="D570E638" w:tentative="1">
      <w:start w:val="1"/>
      <w:numFmt w:val="bullet"/>
      <w:lvlText w:val="—"/>
      <w:lvlJc w:val="left"/>
      <w:pPr>
        <w:tabs>
          <w:tab w:val="num" w:pos="3600"/>
        </w:tabs>
        <w:ind w:left="3600" w:hanging="360"/>
      </w:pPr>
      <w:rPr>
        <w:rFonts w:ascii="Ericsson Hilda Light" w:hAnsi="Ericsson Hilda Light" w:hint="default"/>
      </w:rPr>
    </w:lvl>
    <w:lvl w:ilvl="5" w:tplc="AEDA7F12" w:tentative="1">
      <w:start w:val="1"/>
      <w:numFmt w:val="bullet"/>
      <w:lvlText w:val="—"/>
      <w:lvlJc w:val="left"/>
      <w:pPr>
        <w:tabs>
          <w:tab w:val="num" w:pos="4320"/>
        </w:tabs>
        <w:ind w:left="4320" w:hanging="360"/>
      </w:pPr>
      <w:rPr>
        <w:rFonts w:ascii="Ericsson Hilda Light" w:hAnsi="Ericsson Hilda Light" w:hint="default"/>
      </w:rPr>
    </w:lvl>
    <w:lvl w:ilvl="6" w:tplc="4F307668" w:tentative="1">
      <w:start w:val="1"/>
      <w:numFmt w:val="bullet"/>
      <w:lvlText w:val="—"/>
      <w:lvlJc w:val="left"/>
      <w:pPr>
        <w:tabs>
          <w:tab w:val="num" w:pos="5040"/>
        </w:tabs>
        <w:ind w:left="5040" w:hanging="360"/>
      </w:pPr>
      <w:rPr>
        <w:rFonts w:ascii="Ericsson Hilda Light" w:hAnsi="Ericsson Hilda Light" w:hint="default"/>
      </w:rPr>
    </w:lvl>
    <w:lvl w:ilvl="7" w:tplc="E0C80D42" w:tentative="1">
      <w:start w:val="1"/>
      <w:numFmt w:val="bullet"/>
      <w:lvlText w:val="—"/>
      <w:lvlJc w:val="left"/>
      <w:pPr>
        <w:tabs>
          <w:tab w:val="num" w:pos="5760"/>
        </w:tabs>
        <w:ind w:left="5760" w:hanging="360"/>
      </w:pPr>
      <w:rPr>
        <w:rFonts w:ascii="Ericsson Hilda Light" w:hAnsi="Ericsson Hilda Light" w:hint="default"/>
      </w:rPr>
    </w:lvl>
    <w:lvl w:ilvl="8" w:tplc="D8AE1B24"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2E2D5C"/>
    <w:multiLevelType w:val="hybridMultilevel"/>
    <w:tmpl w:val="E272BC04"/>
    <w:lvl w:ilvl="0" w:tplc="7FBE1658">
      <w:start w:val="1"/>
      <w:numFmt w:val="bullet"/>
      <w:lvlText w:val="—"/>
      <w:lvlJc w:val="left"/>
      <w:pPr>
        <w:tabs>
          <w:tab w:val="num" w:pos="720"/>
        </w:tabs>
        <w:ind w:left="720" w:hanging="360"/>
      </w:pPr>
      <w:rPr>
        <w:rFonts w:ascii="Ericsson Hilda Light" w:hAnsi="Ericsson Hilda Light" w:hint="default"/>
      </w:rPr>
    </w:lvl>
    <w:lvl w:ilvl="1" w:tplc="70ACEAF8">
      <w:start w:val="1"/>
      <w:numFmt w:val="bullet"/>
      <w:lvlText w:val="—"/>
      <w:lvlJc w:val="left"/>
      <w:pPr>
        <w:tabs>
          <w:tab w:val="num" w:pos="1440"/>
        </w:tabs>
        <w:ind w:left="1440" w:hanging="360"/>
      </w:pPr>
      <w:rPr>
        <w:rFonts w:ascii="Ericsson Hilda Light" w:hAnsi="Ericsson Hilda Light" w:hint="default"/>
      </w:rPr>
    </w:lvl>
    <w:lvl w:ilvl="2" w:tplc="BCA46C6A">
      <w:numFmt w:val="bullet"/>
      <w:lvlText w:val="—"/>
      <w:lvlJc w:val="left"/>
      <w:pPr>
        <w:tabs>
          <w:tab w:val="num" w:pos="2160"/>
        </w:tabs>
        <w:ind w:left="2160" w:hanging="360"/>
      </w:pPr>
      <w:rPr>
        <w:rFonts w:ascii="Ericsson Hilda Light" w:hAnsi="Ericsson Hilda Light" w:hint="default"/>
      </w:rPr>
    </w:lvl>
    <w:lvl w:ilvl="3" w:tplc="7FE4C824" w:tentative="1">
      <w:start w:val="1"/>
      <w:numFmt w:val="bullet"/>
      <w:lvlText w:val="—"/>
      <w:lvlJc w:val="left"/>
      <w:pPr>
        <w:tabs>
          <w:tab w:val="num" w:pos="2880"/>
        </w:tabs>
        <w:ind w:left="2880" w:hanging="360"/>
      </w:pPr>
      <w:rPr>
        <w:rFonts w:ascii="Ericsson Hilda Light" w:hAnsi="Ericsson Hilda Light" w:hint="default"/>
      </w:rPr>
    </w:lvl>
    <w:lvl w:ilvl="4" w:tplc="8B3C18AE" w:tentative="1">
      <w:start w:val="1"/>
      <w:numFmt w:val="bullet"/>
      <w:lvlText w:val="—"/>
      <w:lvlJc w:val="left"/>
      <w:pPr>
        <w:tabs>
          <w:tab w:val="num" w:pos="3600"/>
        </w:tabs>
        <w:ind w:left="3600" w:hanging="360"/>
      </w:pPr>
      <w:rPr>
        <w:rFonts w:ascii="Ericsson Hilda Light" w:hAnsi="Ericsson Hilda Light" w:hint="default"/>
      </w:rPr>
    </w:lvl>
    <w:lvl w:ilvl="5" w:tplc="5530A548" w:tentative="1">
      <w:start w:val="1"/>
      <w:numFmt w:val="bullet"/>
      <w:lvlText w:val="—"/>
      <w:lvlJc w:val="left"/>
      <w:pPr>
        <w:tabs>
          <w:tab w:val="num" w:pos="4320"/>
        </w:tabs>
        <w:ind w:left="4320" w:hanging="360"/>
      </w:pPr>
      <w:rPr>
        <w:rFonts w:ascii="Ericsson Hilda Light" w:hAnsi="Ericsson Hilda Light" w:hint="default"/>
      </w:rPr>
    </w:lvl>
    <w:lvl w:ilvl="6" w:tplc="6D36360C" w:tentative="1">
      <w:start w:val="1"/>
      <w:numFmt w:val="bullet"/>
      <w:lvlText w:val="—"/>
      <w:lvlJc w:val="left"/>
      <w:pPr>
        <w:tabs>
          <w:tab w:val="num" w:pos="5040"/>
        </w:tabs>
        <w:ind w:left="5040" w:hanging="360"/>
      </w:pPr>
      <w:rPr>
        <w:rFonts w:ascii="Ericsson Hilda Light" w:hAnsi="Ericsson Hilda Light" w:hint="default"/>
      </w:rPr>
    </w:lvl>
    <w:lvl w:ilvl="7" w:tplc="B85C4FDE" w:tentative="1">
      <w:start w:val="1"/>
      <w:numFmt w:val="bullet"/>
      <w:lvlText w:val="—"/>
      <w:lvlJc w:val="left"/>
      <w:pPr>
        <w:tabs>
          <w:tab w:val="num" w:pos="5760"/>
        </w:tabs>
        <w:ind w:left="5760" w:hanging="360"/>
      </w:pPr>
      <w:rPr>
        <w:rFonts w:ascii="Ericsson Hilda Light" w:hAnsi="Ericsson Hilda Light" w:hint="default"/>
      </w:rPr>
    </w:lvl>
    <w:lvl w:ilvl="8" w:tplc="7778A420"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1C3240"/>
    <w:multiLevelType w:val="hybridMultilevel"/>
    <w:tmpl w:val="9B28B9C0"/>
    <w:lvl w:ilvl="0" w:tplc="E040B274">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461E328D"/>
    <w:multiLevelType w:val="hybridMultilevel"/>
    <w:tmpl w:val="DDCC5A62"/>
    <w:lvl w:ilvl="0" w:tplc="33BE7CB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4D365E"/>
    <w:multiLevelType w:val="hybridMultilevel"/>
    <w:tmpl w:val="96BC3650"/>
    <w:lvl w:ilvl="0" w:tplc="E22C646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4375D0"/>
    <w:multiLevelType w:val="hybridMultilevel"/>
    <w:tmpl w:val="0FE66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D439A0"/>
    <w:multiLevelType w:val="hybridMultilevel"/>
    <w:tmpl w:val="CEE48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12465F0"/>
    <w:multiLevelType w:val="hybridMultilevel"/>
    <w:tmpl w:val="D14850E8"/>
    <w:lvl w:ilvl="0" w:tplc="7226942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CC70D2"/>
    <w:multiLevelType w:val="hybridMultilevel"/>
    <w:tmpl w:val="D22EC75E"/>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662F2A"/>
    <w:multiLevelType w:val="hybridMultilevel"/>
    <w:tmpl w:val="81CA99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9C5F67"/>
    <w:multiLevelType w:val="hybridMultilevel"/>
    <w:tmpl w:val="6150B2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62D5F09"/>
    <w:multiLevelType w:val="hybridMultilevel"/>
    <w:tmpl w:val="66EA83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31"/>
  </w:num>
  <w:num w:numId="3">
    <w:abstractNumId w:val="22"/>
  </w:num>
  <w:num w:numId="4">
    <w:abstractNumId w:val="23"/>
  </w:num>
  <w:num w:numId="5">
    <w:abstractNumId w:val="17"/>
  </w:num>
  <w:num w:numId="6">
    <w:abstractNumId w:val="26"/>
  </w:num>
  <w:num w:numId="7">
    <w:abstractNumId w:val="36"/>
  </w:num>
  <w:num w:numId="8">
    <w:abstractNumId w:val="19"/>
  </w:num>
  <w:num w:numId="9">
    <w:abstractNumId w:val="16"/>
  </w:num>
  <w:num w:numId="10">
    <w:abstractNumId w:val="2"/>
  </w:num>
  <w:num w:numId="11">
    <w:abstractNumId w:val="1"/>
  </w:num>
  <w:num w:numId="12">
    <w:abstractNumId w:val="0"/>
  </w:num>
  <w:num w:numId="13">
    <w:abstractNumId w:val="33"/>
  </w:num>
  <w:num w:numId="14">
    <w:abstractNumId w:val="34"/>
  </w:num>
  <w:num w:numId="15">
    <w:abstractNumId w:val="25"/>
  </w:num>
  <w:num w:numId="16">
    <w:abstractNumId w:val="37"/>
  </w:num>
  <w:num w:numId="17">
    <w:abstractNumId w:val="13"/>
  </w:num>
  <w:num w:numId="18">
    <w:abstractNumId w:val="14"/>
  </w:num>
  <w:num w:numId="19">
    <w:abstractNumId w:val="9"/>
  </w:num>
  <w:num w:numId="20">
    <w:abstractNumId w:val="44"/>
  </w:num>
  <w:num w:numId="21">
    <w:abstractNumId w:val="20"/>
  </w:num>
  <w:num w:numId="22">
    <w:abstractNumId w:val="42"/>
  </w:num>
  <w:num w:numId="23">
    <w:abstractNumId w:val="11"/>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40"/>
  </w:num>
  <w:num w:numId="27">
    <w:abstractNumId w:val="3"/>
  </w:num>
  <w:num w:numId="28">
    <w:abstractNumId w:val="4"/>
  </w:num>
  <w:num w:numId="29">
    <w:abstractNumId w:val="32"/>
  </w:num>
  <w:num w:numId="30">
    <w:abstractNumId w:val="8"/>
  </w:num>
  <w:num w:numId="31">
    <w:abstractNumId w:val="35"/>
  </w:num>
  <w:num w:numId="32">
    <w:abstractNumId w:val="45"/>
  </w:num>
  <w:num w:numId="33">
    <w:abstractNumId w:val="27"/>
  </w:num>
  <w:num w:numId="34">
    <w:abstractNumId w:val="22"/>
  </w:num>
  <w:num w:numId="35">
    <w:abstractNumId w:val="43"/>
  </w:num>
  <w:num w:numId="36">
    <w:abstractNumId w:val="6"/>
  </w:num>
  <w:num w:numId="37">
    <w:abstractNumId w:val="24"/>
  </w:num>
  <w:num w:numId="38">
    <w:abstractNumId w:val="10"/>
  </w:num>
  <w:num w:numId="39">
    <w:abstractNumId w:val="39"/>
  </w:num>
  <w:num w:numId="40">
    <w:abstractNumId w:val="29"/>
  </w:num>
  <w:num w:numId="41">
    <w:abstractNumId w:val="21"/>
  </w:num>
  <w:num w:numId="42">
    <w:abstractNumId w:val="7"/>
  </w:num>
  <w:num w:numId="43">
    <w:abstractNumId w:val="28"/>
  </w:num>
  <w:num w:numId="44">
    <w:abstractNumId w:val="18"/>
  </w:num>
  <w:num w:numId="45">
    <w:abstractNumId w:val="38"/>
  </w:num>
  <w:num w:numId="46">
    <w:abstractNumId w:val="15"/>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num>
  <w:num w:numId="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A3F"/>
    <w:rsid w:val="000006E1"/>
    <w:rsid w:val="00001647"/>
    <w:rsid w:val="00002A37"/>
    <w:rsid w:val="00004A0A"/>
    <w:rsid w:val="0000560E"/>
    <w:rsid w:val="0000564C"/>
    <w:rsid w:val="000062F7"/>
    <w:rsid w:val="00006446"/>
    <w:rsid w:val="000065D6"/>
    <w:rsid w:val="00006896"/>
    <w:rsid w:val="000069E4"/>
    <w:rsid w:val="00006BCA"/>
    <w:rsid w:val="00007CDC"/>
    <w:rsid w:val="00011B28"/>
    <w:rsid w:val="000143C1"/>
    <w:rsid w:val="00015D15"/>
    <w:rsid w:val="000176BF"/>
    <w:rsid w:val="00021CC0"/>
    <w:rsid w:val="0002430F"/>
    <w:rsid w:val="00025352"/>
    <w:rsid w:val="0002564D"/>
    <w:rsid w:val="00025ECA"/>
    <w:rsid w:val="00027C74"/>
    <w:rsid w:val="00030AAF"/>
    <w:rsid w:val="000325B8"/>
    <w:rsid w:val="0003385B"/>
    <w:rsid w:val="000348F3"/>
    <w:rsid w:val="00034C15"/>
    <w:rsid w:val="00036BA1"/>
    <w:rsid w:val="00037FC4"/>
    <w:rsid w:val="00040CB3"/>
    <w:rsid w:val="00041BD9"/>
    <w:rsid w:val="000422E2"/>
    <w:rsid w:val="000428B1"/>
    <w:rsid w:val="00042F22"/>
    <w:rsid w:val="000444EF"/>
    <w:rsid w:val="00047284"/>
    <w:rsid w:val="00051838"/>
    <w:rsid w:val="00052667"/>
    <w:rsid w:val="00052A07"/>
    <w:rsid w:val="00052C67"/>
    <w:rsid w:val="000534E3"/>
    <w:rsid w:val="00053C59"/>
    <w:rsid w:val="00055ABF"/>
    <w:rsid w:val="0005606A"/>
    <w:rsid w:val="00057117"/>
    <w:rsid w:val="000616E7"/>
    <w:rsid w:val="00062A26"/>
    <w:rsid w:val="0006380C"/>
    <w:rsid w:val="0006487E"/>
    <w:rsid w:val="000651C3"/>
    <w:rsid w:val="00065E1A"/>
    <w:rsid w:val="00067388"/>
    <w:rsid w:val="000710D1"/>
    <w:rsid w:val="00071AA4"/>
    <w:rsid w:val="00071B5F"/>
    <w:rsid w:val="00074689"/>
    <w:rsid w:val="000750EE"/>
    <w:rsid w:val="0007625A"/>
    <w:rsid w:val="00076754"/>
    <w:rsid w:val="00077E5F"/>
    <w:rsid w:val="0008036A"/>
    <w:rsid w:val="00081AE6"/>
    <w:rsid w:val="0008503D"/>
    <w:rsid w:val="000855EB"/>
    <w:rsid w:val="00085B52"/>
    <w:rsid w:val="000866F2"/>
    <w:rsid w:val="0009009F"/>
    <w:rsid w:val="00091557"/>
    <w:rsid w:val="000924C1"/>
    <w:rsid w:val="000924F0"/>
    <w:rsid w:val="00093474"/>
    <w:rsid w:val="0009510F"/>
    <w:rsid w:val="00095F1E"/>
    <w:rsid w:val="000963FB"/>
    <w:rsid w:val="000A0885"/>
    <w:rsid w:val="000A1B7B"/>
    <w:rsid w:val="000A56F2"/>
    <w:rsid w:val="000B0A20"/>
    <w:rsid w:val="000B2719"/>
    <w:rsid w:val="000B316E"/>
    <w:rsid w:val="000B3A8F"/>
    <w:rsid w:val="000B4AB9"/>
    <w:rsid w:val="000B58C3"/>
    <w:rsid w:val="000B61E9"/>
    <w:rsid w:val="000B6259"/>
    <w:rsid w:val="000B7065"/>
    <w:rsid w:val="000B7B1A"/>
    <w:rsid w:val="000C165A"/>
    <w:rsid w:val="000C2E19"/>
    <w:rsid w:val="000C395B"/>
    <w:rsid w:val="000D0D07"/>
    <w:rsid w:val="000D2FD3"/>
    <w:rsid w:val="000D4797"/>
    <w:rsid w:val="000D4A18"/>
    <w:rsid w:val="000D661F"/>
    <w:rsid w:val="000E0527"/>
    <w:rsid w:val="000E1E92"/>
    <w:rsid w:val="000E2383"/>
    <w:rsid w:val="000E3E24"/>
    <w:rsid w:val="000E5C9F"/>
    <w:rsid w:val="000F013E"/>
    <w:rsid w:val="000F06D6"/>
    <w:rsid w:val="000F0B66"/>
    <w:rsid w:val="000F0EB1"/>
    <w:rsid w:val="000F1106"/>
    <w:rsid w:val="000F21D9"/>
    <w:rsid w:val="000F3BE9"/>
    <w:rsid w:val="000F3F6C"/>
    <w:rsid w:val="000F5ED9"/>
    <w:rsid w:val="000F6DF3"/>
    <w:rsid w:val="000F718E"/>
    <w:rsid w:val="000F79F0"/>
    <w:rsid w:val="0010027D"/>
    <w:rsid w:val="001005FF"/>
    <w:rsid w:val="001007EE"/>
    <w:rsid w:val="00100F98"/>
    <w:rsid w:val="0010168C"/>
    <w:rsid w:val="00102ACB"/>
    <w:rsid w:val="0010353C"/>
    <w:rsid w:val="001037E0"/>
    <w:rsid w:val="001062FB"/>
    <w:rsid w:val="001063E6"/>
    <w:rsid w:val="0010725E"/>
    <w:rsid w:val="001119BB"/>
    <w:rsid w:val="00113CF4"/>
    <w:rsid w:val="001153EA"/>
    <w:rsid w:val="00115643"/>
    <w:rsid w:val="001166B2"/>
    <w:rsid w:val="00116765"/>
    <w:rsid w:val="001208A4"/>
    <w:rsid w:val="001219F5"/>
    <w:rsid w:val="00121A20"/>
    <w:rsid w:val="0012377F"/>
    <w:rsid w:val="00123E1A"/>
    <w:rsid w:val="00124314"/>
    <w:rsid w:val="0012499D"/>
    <w:rsid w:val="00126B4A"/>
    <w:rsid w:val="0013185E"/>
    <w:rsid w:val="00132FD0"/>
    <w:rsid w:val="001344C0"/>
    <w:rsid w:val="001346FA"/>
    <w:rsid w:val="00135252"/>
    <w:rsid w:val="00136FB2"/>
    <w:rsid w:val="00137AB5"/>
    <w:rsid w:val="00137F0B"/>
    <w:rsid w:val="001417A7"/>
    <w:rsid w:val="001429C0"/>
    <w:rsid w:val="0014763D"/>
    <w:rsid w:val="00151E23"/>
    <w:rsid w:val="001526E0"/>
    <w:rsid w:val="0015455E"/>
    <w:rsid w:val="001551B5"/>
    <w:rsid w:val="00155E20"/>
    <w:rsid w:val="00156282"/>
    <w:rsid w:val="00161221"/>
    <w:rsid w:val="0016340E"/>
    <w:rsid w:val="001659C1"/>
    <w:rsid w:val="00173A8E"/>
    <w:rsid w:val="00173CE7"/>
    <w:rsid w:val="0017502C"/>
    <w:rsid w:val="00177C20"/>
    <w:rsid w:val="0018143F"/>
    <w:rsid w:val="0018172B"/>
    <w:rsid w:val="00181FF8"/>
    <w:rsid w:val="001866A8"/>
    <w:rsid w:val="00190AC1"/>
    <w:rsid w:val="0019232F"/>
    <w:rsid w:val="0019341A"/>
    <w:rsid w:val="00195B5B"/>
    <w:rsid w:val="00197DF9"/>
    <w:rsid w:val="001A1987"/>
    <w:rsid w:val="001A2564"/>
    <w:rsid w:val="001A2CBE"/>
    <w:rsid w:val="001A341F"/>
    <w:rsid w:val="001A45EA"/>
    <w:rsid w:val="001A493D"/>
    <w:rsid w:val="001A5298"/>
    <w:rsid w:val="001A6173"/>
    <w:rsid w:val="001A66AB"/>
    <w:rsid w:val="001A6CBA"/>
    <w:rsid w:val="001B0204"/>
    <w:rsid w:val="001B0D97"/>
    <w:rsid w:val="001B2EE6"/>
    <w:rsid w:val="001B3911"/>
    <w:rsid w:val="001B4ED0"/>
    <w:rsid w:val="001B5A5D"/>
    <w:rsid w:val="001B5B3E"/>
    <w:rsid w:val="001B7166"/>
    <w:rsid w:val="001C1A25"/>
    <w:rsid w:val="001C1CE5"/>
    <w:rsid w:val="001C2A70"/>
    <w:rsid w:val="001C3D2A"/>
    <w:rsid w:val="001C404E"/>
    <w:rsid w:val="001C4ADA"/>
    <w:rsid w:val="001D07FB"/>
    <w:rsid w:val="001D1E75"/>
    <w:rsid w:val="001D27AA"/>
    <w:rsid w:val="001D32F8"/>
    <w:rsid w:val="001D388B"/>
    <w:rsid w:val="001D51BA"/>
    <w:rsid w:val="001D53E7"/>
    <w:rsid w:val="001D6342"/>
    <w:rsid w:val="001D6D53"/>
    <w:rsid w:val="001E2883"/>
    <w:rsid w:val="001E2A7A"/>
    <w:rsid w:val="001E37CA"/>
    <w:rsid w:val="001E58E2"/>
    <w:rsid w:val="001E7AED"/>
    <w:rsid w:val="001F0CA6"/>
    <w:rsid w:val="001F3916"/>
    <w:rsid w:val="001F4347"/>
    <w:rsid w:val="001F54C5"/>
    <w:rsid w:val="001F550B"/>
    <w:rsid w:val="001F662C"/>
    <w:rsid w:val="001F703E"/>
    <w:rsid w:val="001F7074"/>
    <w:rsid w:val="001F7798"/>
    <w:rsid w:val="001F7A2F"/>
    <w:rsid w:val="001F7FCF"/>
    <w:rsid w:val="00200490"/>
    <w:rsid w:val="00201619"/>
    <w:rsid w:val="00201EB3"/>
    <w:rsid w:val="00201F3A"/>
    <w:rsid w:val="00203F96"/>
    <w:rsid w:val="00203FC7"/>
    <w:rsid w:val="00204612"/>
    <w:rsid w:val="002069B2"/>
    <w:rsid w:val="00207FA3"/>
    <w:rsid w:val="00210898"/>
    <w:rsid w:val="00214DA8"/>
    <w:rsid w:val="00215423"/>
    <w:rsid w:val="002158FA"/>
    <w:rsid w:val="00220600"/>
    <w:rsid w:val="00220E1C"/>
    <w:rsid w:val="002224DB"/>
    <w:rsid w:val="00223FCB"/>
    <w:rsid w:val="002252C3"/>
    <w:rsid w:val="00225C54"/>
    <w:rsid w:val="00227240"/>
    <w:rsid w:val="00227FF5"/>
    <w:rsid w:val="00230765"/>
    <w:rsid w:val="00230D18"/>
    <w:rsid w:val="002319E4"/>
    <w:rsid w:val="00232D35"/>
    <w:rsid w:val="00235632"/>
    <w:rsid w:val="00235872"/>
    <w:rsid w:val="002358DD"/>
    <w:rsid w:val="002376F1"/>
    <w:rsid w:val="00237AD2"/>
    <w:rsid w:val="00237B86"/>
    <w:rsid w:val="00241559"/>
    <w:rsid w:val="00242173"/>
    <w:rsid w:val="002435B3"/>
    <w:rsid w:val="002458EB"/>
    <w:rsid w:val="002463BF"/>
    <w:rsid w:val="00247E42"/>
    <w:rsid w:val="002500C8"/>
    <w:rsid w:val="002549F0"/>
    <w:rsid w:val="00257543"/>
    <w:rsid w:val="002617E7"/>
    <w:rsid w:val="00262371"/>
    <w:rsid w:val="0026259B"/>
    <w:rsid w:val="00264228"/>
    <w:rsid w:val="00264334"/>
    <w:rsid w:val="0026473E"/>
    <w:rsid w:val="00266214"/>
    <w:rsid w:val="00267C83"/>
    <w:rsid w:val="0027144F"/>
    <w:rsid w:val="00271813"/>
    <w:rsid w:val="00271F3A"/>
    <w:rsid w:val="00273278"/>
    <w:rsid w:val="002737F4"/>
    <w:rsid w:val="00276D2D"/>
    <w:rsid w:val="002805F5"/>
    <w:rsid w:val="00280751"/>
    <w:rsid w:val="002827FD"/>
    <w:rsid w:val="0028280A"/>
    <w:rsid w:val="0028400A"/>
    <w:rsid w:val="002842DC"/>
    <w:rsid w:val="00285FBB"/>
    <w:rsid w:val="002868A7"/>
    <w:rsid w:val="00286ACD"/>
    <w:rsid w:val="00287838"/>
    <w:rsid w:val="002907B5"/>
    <w:rsid w:val="002927F9"/>
    <w:rsid w:val="00292DA6"/>
    <w:rsid w:val="00292EB7"/>
    <w:rsid w:val="00296227"/>
    <w:rsid w:val="00296F44"/>
    <w:rsid w:val="0029777D"/>
    <w:rsid w:val="00297DD4"/>
    <w:rsid w:val="002A055E"/>
    <w:rsid w:val="002A1D4E"/>
    <w:rsid w:val="002A2429"/>
    <w:rsid w:val="002A2869"/>
    <w:rsid w:val="002A2A3F"/>
    <w:rsid w:val="002B0965"/>
    <w:rsid w:val="002B24D6"/>
    <w:rsid w:val="002B63EA"/>
    <w:rsid w:val="002B6EB1"/>
    <w:rsid w:val="002C2103"/>
    <w:rsid w:val="002C28FA"/>
    <w:rsid w:val="002C31B1"/>
    <w:rsid w:val="002C41E6"/>
    <w:rsid w:val="002C532A"/>
    <w:rsid w:val="002D05A4"/>
    <w:rsid w:val="002D071A"/>
    <w:rsid w:val="002D3325"/>
    <w:rsid w:val="002D34B2"/>
    <w:rsid w:val="002D4404"/>
    <w:rsid w:val="002D48B0"/>
    <w:rsid w:val="002D5854"/>
    <w:rsid w:val="002D5B37"/>
    <w:rsid w:val="002D688A"/>
    <w:rsid w:val="002D7637"/>
    <w:rsid w:val="002E17F2"/>
    <w:rsid w:val="002E449C"/>
    <w:rsid w:val="002E7CAE"/>
    <w:rsid w:val="002F13E4"/>
    <w:rsid w:val="002F2771"/>
    <w:rsid w:val="002F37A9"/>
    <w:rsid w:val="002F54D1"/>
    <w:rsid w:val="002F55A8"/>
    <w:rsid w:val="002F76D4"/>
    <w:rsid w:val="00301CE6"/>
    <w:rsid w:val="0030256B"/>
    <w:rsid w:val="0030501F"/>
    <w:rsid w:val="00305670"/>
    <w:rsid w:val="00306360"/>
    <w:rsid w:val="00307BA1"/>
    <w:rsid w:val="00310FED"/>
    <w:rsid w:val="00311702"/>
    <w:rsid w:val="00311E82"/>
    <w:rsid w:val="00313FD6"/>
    <w:rsid w:val="003143BD"/>
    <w:rsid w:val="00315363"/>
    <w:rsid w:val="003203ED"/>
    <w:rsid w:val="003208AE"/>
    <w:rsid w:val="003208B1"/>
    <w:rsid w:val="003212AE"/>
    <w:rsid w:val="00322A1B"/>
    <w:rsid w:val="00322C9F"/>
    <w:rsid w:val="00323314"/>
    <w:rsid w:val="003244BB"/>
    <w:rsid w:val="00324D23"/>
    <w:rsid w:val="00325BB5"/>
    <w:rsid w:val="00331751"/>
    <w:rsid w:val="00333536"/>
    <w:rsid w:val="00334579"/>
    <w:rsid w:val="00335858"/>
    <w:rsid w:val="0033663D"/>
    <w:rsid w:val="00336BDA"/>
    <w:rsid w:val="00342BD7"/>
    <w:rsid w:val="0034367C"/>
    <w:rsid w:val="00346DB5"/>
    <w:rsid w:val="0034764E"/>
    <w:rsid w:val="003477B1"/>
    <w:rsid w:val="00351857"/>
    <w:rsid w:val="00351F7F"/>
    <w:rsid w:val="003532C9"/>
    <w:rsid w:val="00356C68"/>
    <w:rsid w:val="00357380"/>
    <w:rsid w:val="0035774C"/>
    <w:rsid w:val="003602D9"/>
    <w:rsid w:val="003604CE"/>
    <w:rsid w:val="00360E6D"/>
    <w:rsid w:val="00365B44"/>
    <w:rsid w:val="0036663D"/>
    <w:rsid w:val="00366AFF"/>
    <w:rsid w:val="00370E47"/>
    <w:rsid w:val="0037239A"/>
    <w:rsid w:val="003742AC"/>
    <w:rsid w:val="00377CE1"/>
    <w:rsid w:val="00380146"/>
    <w:rsid w:val="00381A58"/>
    <w:rsid w:val="00385BF0"/>
    <w:rsid w:val="00386FED"/>
    <w:rsid w:val="003939FF"/>
    <w:rsid w:val="003A2223"/>
    <w:rsid w:val="003A2A0F"/>
    <w:rsid w:val="003A45A1"/>
    <w:rsid w:val="003A5B0A"/>
    <w:rsid w:val="003A6BAC"/>
    <w:rsid w:val="003A70A4"/>
    <w:rsid w:val="003A7EF3"/>
    <w:rsid w:val="003B159C"/>
    <w:rsid w:val="003B369F"/>
    <w:rsid w:val="003B36A3"/>
    <w:rsid w:val="003B4CB1"/>
    <w:rsid w:val="003B61AE"/>
    <w:rsid w:val="003B62F7"/>
    <w:rsid w:val="003B64BB"/>
    <w:rsid w:val="003B784A"/>
    <w:rsid w:val="003B7FE5"/>
    <w:rsid w:val="003C11C8"/>
    <w:rsid w:val="003C2702"/>
    <w:rsid w:val="003C52AA"/>
    <w:rsid w:val="003C5686"/>
    <w:rsid w:val="003C7806"/>
    <w:rsid w:val="003C7DBB"/>
    <w:rsid w:val="003D109F"/>
    <w:rsid w:val="003D2478"/>
    <w:rsid w:val="003D35C8"/>
    <w:rsid w:val="003D3C45"/>
    <w:rsid w:val="003D5B1F"/>
    <w:rsid w:val="003E15FA"/>
    <w:rsid w:val="003E4DB2"/>
    <w:rsid w:val="003E55E4"/>
    <w:rsid w:val="003E74E3"/>
    <w:rsid w:val="003E7A6F"/>
    <w:rsid w:val="003F05C7"/>
    <w:rsid w:val="003F2BE2"/>
    <w:rsid w:val="003F2CD4"/>
    <w:rsid w:val="003F320A"/>
    <w:rsid w:val="003F3997"/>
    <w:rsid w:val="003F558D"/>
    <w:rsid w:val="003F6BBE"/>
    <w:rsid w:val="004000E8"/>
    <w:rsid w:val="00402E2B"/>
    <w:rsid w:val="00403277"/>
    <w:rsid w:val="0040512B"/>
    <w:rsid w:val="00405CA5"/>
    <w:rsid w:val="00407CD3"/>
    <w:rsid w:val="00410134"/>
    <w:rsid w:val="00410B72"/>
    <w:rsid w:val="00410F18"/>
    <w:rsid w:val="00411FC6"/>
    <w:rsid w:val="0041263E"/>
    <w:rsid w:val="0041286C"/>
    <w:rsid w:val="00413AAC"/>
    <w:rsid w:val="00413D3C"/>
    <w:rsid w:val="00413E92"/>
    <w:rsid w:val="00416742"/>
    <w:rsid w:val="00416782"/>
    <w:rsid w:val="004208BE"/>
    <w:rsid w:val="00421105"/>
    <w:rsid w:val="00422AA4"/>
    <w:rsid w:val="0042414C"/>
    <w:rsid w:val="004242F4"/>
    <w:rsid w:val="004263F6"/>
    <w:rsid w:val="0042650D"/>
    <w:rsid w:val="00426C95"/>
    <w:rsid w:val="00427248"/>
    <w:rsid w:val="00432B35"/>
    <w:rsid w:val="00432D9F"/>
    <w:rsid w:val="00433FD2"/>
    <w:rsid w:val="00434F16"/>
    <w:rsid w:val="00435E82"/>
    <w:rsid w:val="00437447"/>
    <w:rsid w:val="00437B96"/>
    <w:rsid w:val="00441A68"/>
    <w:rsid w:val="00441A92"/>
    <w:rsid w:val="00441CAD"/>
    <w:rsid w:val="0044229B"/>
    <w:rsid w:val="004431DC"/>
    <w:rsid w:val="00444F56"/>
    <w:rsid w:val="00446488"/>
    <w:rsid w:val="00446D15"/>
    <w:rsid w:val="004471E4"/>
    <w:rsid w:val="00447BEE"/>
    <w:rsid w:val="00447DCB"/>
    <w:rsid w:val="004508F6"/>
    <w:rsid w:val="004517AA"/>
    <w:rsid w:val="00452CAC"/>
    <w:rsid w:val="00457565"/>
    <w:rsid w:val="00457B71"/>
    <w:rsid w:val="00464689"/>
    <w:rsid w:val="0046597C"/>
    <w:rsid w:val="004669E2"/>
    <w:rsid w:val="0046748A"/>
    <w:rsid w:val="00470473"/>
    <w:rsid w:val="004708D1"/>
    <w:rsid w:val="00470C31"/>
    <w:rsid w:val="00471DE0"/>
    <w:rsid w:val="0047265C"/>
    <w:rsid w:val="004734D0"/>
    <w:rsid w:val="0047556B"/>
    <w:rsid w:val="004756CB"/>
    <w:rsid w:val="00477768"/>
    <w:rsid w:val="0049027F"/>
    <w:rsid w:val="0049154D"/>
    <w:rsid w:val="00492BC5"/>
    <w:rsid w:val="004939E5"/>
    <w:rsid w:val="004957C0"/>
    <w:rsid w:val="004964F1"/>
    <w:rsid w:val="004A02BD"/>
    <w:rsid w:val="004A16BC"/>
    <w:rsid w:val="004A24E4"/>
    <w:rsid w:val="004A27F6"/>
    <w:rsid w:val="004A2B94"/>
    <w:rsid w:val="004B4F06"/>
    <w:rsid w:val="004B5B88"/>
    <w:rsid w:val="004B6516"/>
    <w:rsid w:val="004B6F6A"/>
    <w:rsid w:val="004B7C0C"/>
    <w:rsid w:val="004C0476"/>
    <w:rsid w:val="004C3898"/>
    <w:rsid w:val="004C3DCA"/>
    <w:rsid w:val="004C4298"/>
    <w:rsid w:val="004C47CB"/>
    <w:rsid w:val="004C6DAC"/>
    <w:rsid w:val="004D10E7"/>
    <w:rsid w:val="004D1987"/>
    <w:rsid w:val="004D24DB"/>
    <w:rsid w:val="004D3530"/>
    <w:rsid w:val="004D36B1"/>
    <w:rsid w:val="004D4967"/>
    <w:rsid w:val="004D53BA"/>
    <w:rsid w:val="004D7EBD"/>
    <w:rsid w:val="004E2680"/>
    <w:rsid w:val="004E28F9"/>
    <w:rsid w:val="004E319F"/>
    <w:rsid w:val="004E462E"/>
    <w:rsid w:val="004E4986"/>
    <w:rsid w:val="004E56DC"/>
    <w:rsid w:val="004E76F4"/>
    <w:rsid w:val="004F0B4E"/>
    <w:rsid w:val="004F0B6C"/>
    <w:rsid w:val="004F2078"/>
    <w:rsid w:val="004F4DA3"/>
    <w:rsid w:val="00500643"/>
    <w:rsid w:val="00506557"/>
    <w:rsid w:val="00506600"/>
    <w:rsid w:val="0050677A"/>
    <w:rsid w:val="005108D8"/>
    <w:rsid w:val="005116F9"/>
    <w:rsid w:val="005153A7"/>
    <w:rsid w:val="0052150F"/>
    <w:rsid w:val="005219CF"/>
    <w:rsid w:val="00523229"/>
    <w:rsid w:val="005233F3"/>
    <w:rsid w:val="005253CF"/>
    <w:rsid w:val="00527309"/>
    <w:rsid w:val="005307D2"/>
    <w:rsid w:val="00530B03"/>
    <w:rsid w:val="00531C32"/>
    <w:rsid w:val="00532029"/>
    <w:rsid w:val="005338E7"/>
    <w:rsid w:val="0053423F"/>
    <w:rsid w:val="00534B59"/>
    <w:rsid w:val="00535197"/>
    <w:rsid w:val="00536759"/>
    <w:rsid w:val="00537C62"/>
    <w:rsid w:val="00540AC1"/>
    <w:rsid w:val="005413DB"/>
    <w:rsid w:val="005428E5"/>
    <w:rsid w:val="00546323"/>
    <w:rsid w:val="00546970"/>
    <w:rsid w:val="00553466"/>
    <w:rsid w:val="005538C5"/>
    <w:rsid w:val="005548BA"/>
    <w:rsid w:val="00554E19"/>
    <w:rsid w:val="00555524"/>
    <w:rsid w:val="005563ED"/>
    <w:rsid w:val="0056121F"/>
    <w:rsid w:val="00563E9D"/>
    <w:rsid w:val="0056534A"/>
    <w:rsid w:val="00566A88"/>
    <w:rsid w:val="00570800"/>
    <w:rsid w:val="00572505"/>
    <w:rsid w:val="005732DF"/>
    <w:rsid w:val="00573652"/>
    <w:rsid w:val="00577492"/>
    <w:rsid w:val="00581575"/>
    <w:rsid w:val="00581CFA"/>
    <w:rsid w:val="00582809"/>
    <w:rsid w:val="00584F82"/>
    <w:rsid w:val="005859D3"/>
    <w:rsid w:val="0058723D"/>
    <w:rsid w:val="005872A1"/>
    <w:rsid w:val="005873A8"/>
    <w:rsid w:val="0058798C"/>
    <w:rsid w:val="005900FA"/>
    <w:rsid w:val="005935A4"/>
    <w:rsid w:val="00593AE1"/>
    <w:rsid w:val="005948C2"/>
    <w:rsid w:val="00595290"/>
    <w:rsid w:val="00595449"/>
    <w:rsid w:val="00595DCA"/>
    <w:rsid w:val="00596A99"/>
    <w:rsid w:val="0059779B"/>
    <w:rsid w:val="005A209A"/>
    <w:rsid w:val="005A26AA"/>
    <w:rsid w:val="005A281A"/>
    <w:rsid w:val="005A4CF7"/>
    <w:rsid w:val="005A57BD"/>
    <w:rsid w:val="005A6410"/>
    <w:rsid w:val="005A662D"/>
    <w:rsid w:val="005A688A"/>
    <w:rsid w:val="005B028E"/>
    <w:rsid w:val="005B1409"/>
    <w:rsid w:val="005B331D"/>
    <w:rsid w:val="005B35D7"/>
    <w:rsid w:val="005B392A"/>
    <w:rsid w:val="005B3AA3"/>
    <w:rsid w:val="005B43E6"/>
    <w:rsid w:val="005B4730"/>
    <w:rsid w:val="005B6220"/>
    <w:rsid w:val="005B6B2C"/>
    <w:rsid w:val="005B6F83"/>
    <w:rsid w:val="005C185B"/>
    <w:rsid w:val="005C4A57"/>
    <w:rsid w:val="005C4E07"/>
    <w:rsid w:val="005C74FB"/>
    <w:rsid w:val="005D0C7D"/>
    <w:rsid w:val="005D1602"/>
    <w:rsid w:val="005D205F"/>
    <w:rsid w:val="005D27C8"/>
    <w:rsid w:val="005D2FCB"/>
    <w:rsid w:val="005D3AB9"/>
    <w:rsid w:val="005D4F7E"/>
    <w:rsid w:val="005E02F0"/>
    <w:rsid w:val="005E1238"/>
    <w:rsid w:val="005E385F"/>
    <w:rsid w:val="005E43E2"/>
    <w:rsid w:val="005E5B81"/>
    <w:rsid w:val="005E7211"/>
    <w:rsid w:val="005F1727"/>
    <w:rsid w:val="005F1BA8"/>
    <w:rsid w:val="005F1E4B"/>
    <w:rsid w:val="005F2CB1"/>
    <w:rsid w:val="005F3025"/>
    <w:rsid w:val="005F618C"/>
    <w:rsid w:val="005F61D2"/>
    <w:rsid w:val="005F70BD"/>
    <w:rsid w:val="00601D3C"/>
    <w:rsid w:val="0060283C"/>
    <w:rsid w:val="00604F14"/>
    <w:rsid w:val="00611B83"/>
    <w:rsid w:val="00613257"/>
    <w:rsid w:val="00614326"/>
    <w:rsid w:val="00617C64"/>
    <w:rsid w:val="00617CDF"/>
    <w:rsid w:val="00620A71"/>
    <w:rsid w:val="00620D80"/>
    <w:rsid w:val="006234A6"/>
    <w:rsid w:val="00623AEA"/>
    <w:rsid w:val="00623BFB"/>
    <w:rsid w:val="00626350"/>
    <w:rsid w:val="00630001"/>
    <w:rsid w:val="006311B3"/>
    <w:rsid w:val="0063284C"/>
    <w:rsid w:val="00636398"/>
    <w:rsid w:val="006368D3"/>
    <w:rsid w:val="00637083"/>
    <w:rsid w:val="00637090"/>
    <w:rsid w:val="006377EC"/>
    <w:rsid w:val="00641236"/>
    <w:rsid w:val="0064151F"/>
    <w:rsid w:val="00641533"/>
    <w:rsid w:val="00641C61"/>
    <w:rsid w:val="0064208D"/>
    <w:rsid w:val="00643475"/>
    <w:rsid w:val="0064396A"/>
    <w:rsid w:val="00644E1D"/>
    <w:rsid w:val="0064624E"/>
    <w:rsid w:val="00647E28"/>
    <w:rsid w:val="00650AB9"/>
    <w:rsid w:val="00650CBF"/>
    <w:rsid w:val="00652475"/>
    <w:rsid w:val="006549BE"/>
    <w:rsid w:val="00655733"/>
    <w:rsid w:val="00655ACD"/>
    <w:rsid w:val="00656A92"/>
    <w:rsid w:val="00656DDE"/>
    <w:rsid w:val="0065703E"/>
    <w:rsid w:val="0066011D"/>
    <w:rsid w:val="006607C0"/>
    <w:rsid w:val="006613A6"/>
    <w:rsid w:val="006627A2"/>
    <w:rsid w:val="006634E6"/>
    <w:rsid w:val="00663F19"/>
    <w:rsid w:val="006655EE"/>
    <w:rsid w:val="00665E1C"/>
    <w:rsid w:val="00667951"/>
    <w:rsid w:val="00667D0B"/>
    <w:rsid w:val="00667EE7"/>
    <w:rsid w:val="00670922"/>
    <w:rsid w:val="00670BE1"/>
    <w:rsid w:val="0067193F"/>
    <w:rsid w:val="0067218F"/>
    <w:rsid w:val="00672C9A"/>
    <w:rsid w:val="00673520"/>
    <w:rsid w:val="006741F2"/>
    <w:rsid w:val="00674CC3"/>
    <w:rsid w:val="00675C72"/>
    <w:rsid w:val="006771F9"/>
    <w:rsid w:val="006776D7"/>
    <w:rsid w:val="00681003"/>
    <w:rsid w:val="00681530"/>
    <w:rsid w:val="006817C9"/>
    <w:rsid w:val="00683C96"/>
    <w:rsid w:val="00683ECE"/>
    <w:rsid w:val="00684FDE"/>
    <w:rsid w:val="00691CCF"/>
    <w:rsid w:val="0069268C"/>
    <w:rsid w:val="0069315F"/>
    <w:rsid w:val="00695FC2"/>
    <w:rsid w:val="00696949"/>
    <w:rsid w:val="00696E35"/>
    <w:rsid w:val="00696F6A"/>
    <w:rsid w:val="00697052"/>
    <w:rsid w:val="006A46FB"/>
    <w:rsid w:val="006A4C33"/>
    <w:rsid w:val="006A4F7C"/>
    <w:rsid w:val="006A5E28"/>
    <w:rsid w:val="006A5EE9"/>
    <w:rsid w:val="006A654E"/>
    <w:rsid w:val="006A697B"/>
    <w:rsid w:val="006A7AFF"/>
    <w:rsid w:val="006A7DA6"/>
    <w:rsid w:val="006B114F"/>
    <w:rsid w:val="006B1816"/>
    <w:rsid w:val="006B2099"/>
    <w:rsid w:val="006B2E8A"/>
    <w:rsid w:val="006B33FC"/>
    <w:rsid w:val="006B3C7F"/>
    <w:rsid w:val="006B4A90"/>
    <w:rsid w:val="006B4EAD"/>
    <w:rsid w:val="006B50CF"/>
    <w:rsid w:val="006B6367"/>
    <w:rsid w:val="006B6C7D"/>
    <w:rsid w:val="006B7A8D"/>
    <w:rsid w:val="006C03B8"/>
    <w:rsid w:val="006C19A1"/>
    <w:rsid w:val="006C5423"/>
    <w:rsid w:val="006C5EC9"/>
    <w:rsid w:val="006C6059"/>
    <w:rsid w:val="006C7522"/>
    <w:rsid w:val="006C7C92"/>
    <w:rsid w:val="006D0572"/>
    <w:rsid w:val="006D24F5"/>
    <w:rsid w:val="006D2E9C"/>
    <w:rsid w:val="006D5724"/>
    <w:rsid w:val="006D6F08"/>
    <w:rsid w:val="006D7D51"/>
    <w:rsid w:val="006E062C"/>
    <w:rsid w:val="006E1C82"/>
    <w:rsid w:val="006E28B7"/>
    <w:rsid w:val="006E2A9B"/>
    <w:rsid w:val="006E3276"/>
    <w:rsid w:val="006E3310"/>
    <w:rsid w:val="006E384F"/>
    <w:rsid w:val="006E4E39"/>
    <w:rsid w:val="006E565E"/>
    <w:rsid w:val="006E673D"/>
    <w:rsid w:val="006E7D3B"/>
    <w:rsid w:val="006F0847"/>
    <w:rsid w:val="006F18AE"/>
    <w:rsid w:val="006F1B70"/>
    <w:rsid w:val="006F1E21"/>
    <w:rsid w:val="006F2392"/>
    <w:rsid w:val="006F341D"/>
    <w:rsid w:val="006F3CDE"/>
    <w:rsid w:val="006F496C"/>
    <w:rsid w:val="006F58D4"/>
    <w:rsid w:val="006F6582"/>
    <w:rsid w:val="0070107B"/>
    <w:rsid w:val="0070255B"/>
    <w:rsid w:val="0070346E"/>
    <w:rsid w:val="00704EDB"/>
    <w:rsid w:val="00705231"/>
    <w:rsid w:val="00705BD9"/>
    <w:rsid w:val="00706101"/>
    <w:rsid w:val="00706B0A"/>
    <w:rsid w:val="00707072"/>
    <w:rsid w:val="00707D61"/>
    <w:rsid w:val="007116B6"/>
    <w:rsid w:val="00712287"/>
    <w:rsid w:val="00712772"/>
    <w:rsid w:val="007148D3"/>
    <w:rsid w:val="00715B9A"/>
    <w:rsid w:val="007257D0"/>
    <w:rsid w:val="007263BF"/>
    <w:rsid w:val="00726EA6"/>
    <w:rsid w:val="00727208"/>
    <w:rsid w:val="007273E4"/>
    <w:rsid w:val="00727680"/>
    <w:rsid w:val="00730B6F"/>
    <w:rsid w:val="00731E3A"/>
    <w:rsid w:val="00732391"/>
    <w:rsid w:val="007324FE"/>
    <w:rsid w:val="007348B1"/>
    <w:rsid w:val="00734C13"/>
    <w:rsid w:val="00736109"/>
    <w:rsid w:val="007362A6"/>
    <w:rsid w:val="00736D7D"/>
    <w:rsid w:val="00737E76"/>
    <w:rsid w:val="00740316"/>
    <w:rsid w:val="007406CA"/>
    <w:rsid w:val="00740E58"/>
    <w:rsid w:val="00741083"/>
    <w:rsid w:val="007445A0"/>
    <w:rsid w:val="0074461C"/>
    <w:rsid w:val="0074524B"/>
    <w:rsid w:val="00745E2C"/>
    <w:rsid w:val="00747D8B"/>
    <w:rsid w:val="00750A29"/>
    <w:rsid w:val="00751228"/>
    <w:rsid w:val="00751318"/>
    <w:rsid w:val="00752094"/>
    <w:rsid w:val="007571E1"/>
    <w:rsid w:val="00757640"/>
    <w:rsid w:val="007604B2"/>
    <w:rsid w:val="00762FB4"/>
    <w:rsid w:val="00764185"/>
    <w:rsid w:val="007642E9"/>
    <w:rsid w:val="00765281"/>
    <w:rsid w:val="00766BAD"/>
    <w:rsid w:val="00771318"/>
    <w:rsid w:val="007729A2"/>
    <w:rsid w:val="00772B62"/>
    <w:rsid w:val="007755F2"/>
    <w:rsid w:val="00776971"/>
    <w:rsid w:val="00777C4D"/>
    <w:rsid w:val="00780A80"/>
    <w:rsid w:val="0078177E"/>
    <w:rsid w:val="00782FCE"/>
    <w:rsid w:val="0078304C"/>
    <w:rsid w:val="00783673"/>
    <w:rsid w:val="00784EF4"/>
    <w:rsid w:val="00785490"/>
    <w:rsid w:val="00786D77"/>
    <w:rsid w:val="00787BB2"/>
    <w:rsid w:val="00790080"/>
    <w:rsid w:val="00792527"/>
    <w:rsid w:val="007925EA"/>
    <w:rsid w:val="00793CD8"/>
    <w:rsid w:val="00795C92"/>
    <w:rsid w:val="00796231"/>
    <w:rsid w:val="00797564"/>
    <w:rsid w:val="007A1CB3"/>
    <w:rsid w:val="007A306F"/>
    <w:rsid w:val="007A43A6"/>
    <w:rsid w:val="007A4534"/>
    <w:rsid w:val="007A58A6"/>
    <w:rsid w:val="007B120B"/>
    <w:rsid w:val="007B1B3D"/>
    <w:rsid w:val="007B2055"/>
    <w:rsid w:val="007B3D2D"/>
    <w:rsid w:val="007B50AE"/>
    <w:rsid w:val="007B51DF"/>
    <w:rsid w:val="007B57F4"/>
    <w:rsid w:val="007B593B"/>
    <w:rsid w:val="007B6246"/>
    <w:rsid w:val="007C05DD"/>
    <w:rsid w:val="007C3D18"/>
    <w:rsid w:val="007C6005"/>
    <w:rsid w:val="007C60BF"/>
    <w:rsid w:val="007C6A07"/>
    <w:rsid w:val="007C75A1"/>
    <w:rsid w:val="007C77A5"/>
    <w:rsid w:val="007C7EF8"/>
    <w:rsid w:val="007D04E5"/>
    <w:rsid w:val="007D5901"/>
    <w:rsid w:val="007D6515"/>
    <w:rsid w:val="007D7526"/>
    <w:rsid w:val="007E3565"/>
    <w:rsid w:val="007E4610"/>
    <w:rsid w:val="007E4715"/>
    <w:rsid w:val="007E505B"/>
    <w:rsid w:val="007E7091"/>
    <w:rsid w:val="007E70B1"/>
    <w:rsid w:val="007E7A48"/>
    <w:rsid w:val="007E7FE3"/>
    <w:rsid w:val="007F00FD"/>
    <w:rsid w:val="007F0496"/>
    <w:rsid w:val="007F1BF0"/>
    <w:rsid w:val="007F1E9F"/>
    <w:rsid w:val="007F490B"/>
    <w:rsid w:val="007F563A"/>
    <w:rsid w:val="007F67F4"/>
    <w:rsid w:val="00800730"/>
    <w:rsid w:val="0080217E"/>
    <w:rsid w:val="008039B2"/>
    <w:rsid w:val="00803FAE"/>
    <w:rsid w:val="0080605F"/>
    <w:rsid w:val="008070BF"/>
    <w:rsid w:val="00807786"/>
    <w:rsid w:val="00811FCB"/>
    <w:rsid w:val="00812CC4"/>
    <w:rsid w:val="008158D6"/>
    <w:rsid w:val="00817196"/>
    <w:rsid w:val="00817D23"/>
    <w:rsid w:val="008231B2"/>
    <w:rsid w:val="0082350E"/>
    <w:rsid w:val="008235DB"/>
    <w:rsid w:val="00823B77"/>
    <w:rsid w:val="00824AB4"/>
    <w:rsid w:val="00825C42"/>
    <w:rsid w:val="00825D25"/>
    <w:rsid w:val="00827D6F"/>
    <w:rsid w:val="008305A4"/>
    <w:rsid w:val="008307C0"/>
    <w:rsid w:val="008317B5"/>
    <w:rsid w:val="0083246D"/>
    <w:rsid w:val="00835DFC"/>
    <w:rsid w:val="00836001"/>
    <w:rsid w:val="008376AC"/>
    <w:rsid w:val="008444E8"/>
    <w:rsid w:val="008445EB"/>
    <w:rsid w:val="00844BA1"/>
    <w:rsid w:val="00844E80"/>
    <w:rsid w:val="0084597A"/>
    <w:rsid w:val="00846FE7"/>
    <w:rsid w:val="008470D6"/>
    <w:rsid w:val="00851584"/>
    <w:rsid w:val="00852115"/>
    <w:rsid w:val="008526D4"/>
    <w:rsid w:val="00853D62"/>
    <w:rsid w:val="00856911"/>
    <w:rsid w:val="008569E5"/>
    <w:rsid w:val="00857E42"/>
    <w:rsid w:val="00860A80"/>
    <w:rsid w:val="0086138F"/>
    <w:rsid w:val="008632C1"/>
    <w:rsid w:val="008667AA"/>
    <w:rsid w:val="008677FD"/>
    <w:rsid w:val="008706D4"/>
    <w:rsid w:val="00870F8A"/>
    <w:rsid w:val="008719A4"/>
    <w:rsid w:val="00871D23"/>
    <w:rsid w:val="008720BC"/>
    <w:rsid w:val="008727CF"/>
    <w:rsid w:val="00872FB3"/>
    <w:rsid w:val="00874312"/>
    <w:rsid w:val="0087437C"/>
    <w:rsid w:val="00875CD7"/>
    <w:rsid w:val="00876B4D"/>
    <w:rsid w:val="00877F18"/>
    <w:rsid w:val="00880938"/>
    <w:rsid w:val="008827A8"/>
    <w:rsid w:val="00892823"/>
    <w:rsid w:val="008941E3"/>
    <w:rsid w:val="00894A88"/>
    <w:rsid w:val="00895386"/>
    <w:rsid w:val="00895A69"/>
    <w:rsid w:val="00895E0E"/>
    <w:rsid w:val="00895F9E"/>
    <w:rsid w:val="0089716D"/>
    <w:rsid w:val="008A21FF"/>
    <w:rsid w:val="008A2CE2"/>
    <w:rsid w:val="008A30AC"/>
    <w:rsid w:val="008A44B8"/>
    <w:rsid w:val="008A51A8"/>
    <w:rsid w:val="008A54C7"/>
    <w:rsid w:val="008A6DB5"/>
    <w:rsid w:val="008A77D8"/>
    <w:rsid w:val="008B0483"/>
    <w:rsid w:val="008B120C"/>
    <w:rsid w:val="008B1E8F"/>
    <w:rsid w:val="008B36A6"/>
    <w:rsid w:val="008B49C5"/>
    <w:rsid w:val="008B51A0"/>
    <w:rsid w:val="008B592A"/>
    <w:rsid w:val="008B660E"/>
    <w:rsid w:val="008B716E"/>
    <w:rsid w:val="008B7B5C"/>
    <w:rsid w:val="008C0C99"/>
    <w:rsid w:val="008C2017"/>
    <w:rsid w:val="008C27B4"/>
    <w:rsid w:val="008C4958"/>
    <w:rsid w:val="008C4BAA"/>
    <w:rsid w:val="008C6AE8"/>
    <w:rsid w:val="008C7573"/>
    <w:rsid w:val="008C7762"/>
    <w:rsid w:val="008D00A5"/>
    <w:rsid w:val="008D11E6"/>
    <w:rsid w:val="008D2C57"/>
    <w:rsid w:val="008D34F1"/>
    <w:rsid w:val="008D37CC"/>
    <w:rsid w:val="008D39D8"/>
    <w:rsid w:val="008D4ED0"/>
    <w:rsid w:val="008D6D1A"/>
    <w:rsid w:val="008E065E"/>
    <w:rsid w:val="008E0927"/>
    <w:rsid w:val="008E0D8F"/>
    <w:rsid w:val="008E1909"/>
    <w:rsid w:val="008E4DED"/>
    <w:rsid w:val="008E7422"/>
    <w:rsid w:val="008E7BEE"/>
    <w:rsid w:val="008F1C4E"/>
    <w:rsid w:val="008F1EAB"/>
    <w:rsid w:val="008F2209"/>
    <w:rsid w:val="008F33DC"/>
    <w:rsid w:val="008F3E41"/>
    <w:rsid w:val="008F477F"/>
    <w:rsid w:val="008F5103"/>
    <w:rsid w:val="008F7AA0"/>
    <w:rsid w:val="00902350"/>
    <w:rsid w:val="0090336B"/>
    <w:rsid w:val="0090373B"/>
    <w:rsid w:val="009053AA"/>
    <w:rsid w:val="00906939"/>
    <w:rsid w:val="00907CE3"/>
    <w:rsid w:val="00910B7D"/>
    <w:rsid w:val="00910BF8"/>
    <w:rsid w:val="0091189B"/>
    <w:rsid w:val="00911DFB"/>
    <w:rsid w:val="00912778"/>
    <w:rsid w:val="009139D9"/>
    <w:rsid w:val="00914AD8"/>
    <w:rsid w:val="00916079"/>
    <w:rsid w:val="00917621"/>
    <w:rsid w:val="00917B37"/>
    <w:rsid w:val="00917CE9"/>
    <w:rsid w:val="0092075B"/>
    <w:rsid w:val="00920BF2"/>
    <w:rsid w:val="00922010"/>
    <w:rsid w:val="0092735F"/>
    <w:rsid w:val="00930288"/>
    <w:rsid w:val="00931AA7"/>
    <w:rsid w:val="00931BD9"/>
    <w:rsid w:val="00934756"/>
    <w:rsid w:val="009368F3"/>
    <w:rsid w:val="00941636"/>
    <w:rsid w:val="0094258A"/>
    <w:rsid w:val="00942855"/>
    <w:rsid w:val="00943742"/>
    <w:rsid w:val="00943DF2"/>
    <w:rsid w:val="00944547"/>
    <w:rsid w:val="00945C05"/>
    <w:rsid w:val="00946945"/>
    <w:rsid w:val="00947713"/>
    <w:rsid w:val="00947FC6"/>
    <w:rsid w:val="00950DE7"/>
    <w:rsid w:val="00951CD6"/>
    <w:rsid w:val="0095351C"/>
    <w:rsid w:val="00953920"/>
    <w:rsid w:val="00953D47"/>
    <w:rsid w:val="00954968"/>
    <w:rsid w:val="00954C25"/>
    <w:rsid w:val="0095681E"/>
    <w:rsid w:val="009572D4"/>
    <w:rsid w:val="00961921"/>
    <w:rsid w:val="00962BA9"/>
    <w:rsid w:val="0096430A"/>
    <w:rsid w:val="0096554B"/>
    <w:rsid w:val="0096584A"/>
    <w:rsid w:val="00965E1B"/>
    <w:rsid w:val="00965F0F"/>
    <w:rsid w:val="00967C71"/>
    <w:rsid w:val="009713B7"/>
    <w:rsid w:val="00971F08"/>
    <w:rsid w:val="00972731"/>
    <w:rsid w:val="0097603D"/>
    <w:rsid w:val="0097663A"/>
    <w:rsid w:val="00976949"/>
    <w:rsid w:val="00980477"/>
    <w:rsid w:val="009823D1"/>
    <w:rsid w:val="00984436"/>
    <w:rsid w:val="00985253"/>
    <w:rsid w:val="009853B3"/>
    <w:rsid w:val="00987105"/>
    <w:rsid w:val="00990630"/>
    <w:rsid w:val="009907B8"/>
    <w:rsid w:val="00991761"/>
    <w:rsid w:val="00993745"/>
    <w:rsid w:val="00994DCA"/>
    <w:rsid w:val="009960EC"/>
    <w:rsid w:val="009970DD"/>
    <w:rsid w:val="009A0FBA"/>
    <w:rsid w:val="009A1601"/>
    <w:rsid w:val="009A3BB6"/>
    <w:rsid w:val="009A4091"/>
    <w:rsid w:val="009A462D"/>
    <w:rsid w:val="009A55BC"/>
    <w:rsid w:val="009A5CBA"/>
    <w:rsid w:val="009B08E6"/>
    <w:rsid w:val="009B143F"/>
    <w:rsid w:val="009B1A85"/>
    <w:rsid w:val="009B1F30"/>
    <w:rsid w:val="009B3AC2"/>
    <w:rsid w:val="009B3C5D"/>
    <w:rsid w:val="009B4CA3"/>
    <w:rsid w:val="009B4DF4"/>
    <w:rsid w:val="009B4F53"/>
    <w:rsid w:val="009B5119"/>
    <w:rsid w:val="009B564E"/>
    <w:rsid w:val="009B5989"/>
    <w:rsid w:val="009B613C"/>
    <w:rsid w:val="009B67D5"/>
    <w:rsid w:val="009B7509"/>
    <w:rsid w:val="009B7E87"/>
    <w:rsid w:val="009C0169"/>
    <w:rsid w:val="009C2D28"/>
    <w:rsid w:val="009C403E"/>
    <w:rsid w:val="009C6CEA"/>
    <w:rsid w:val="009D0545"/>
    <w:rsid w:val="009D0B47"/>
    <w:rsid w:val="009D18B0"/>
    <w:rsid w:val="009D290D"/>
    <w:rsid w:val="009D407E"/>
    <w:rsid w:val="009D4BAD"/>
    <w:rsid w:val="009D4FF0"/>
    <w:rsid w:val="009D703C"/>
    <w:rsid w:val="009D718F"/>
    <w:rsid w:val="009D7A0B"/>
    <w:rsid w:val="009E068F"/>
    <w:rsid w:val="009E0755"/>
    <w:rsid w:val="009E1311"/>
    <w:rsid w:val="009E14E0"/>
    <w:rsid w:val="009E35DB"/>
    <w:rsid w:val="009E47A3"/>
    <w:rsid w:val="009E5F41"/>
    <w:rsid w:val="009E7133"/>
    <w:rsid w:val="009F08F3"/>
    <w:rsid w:val="009F0A93"/>
    <w:rsid w:val="009F0AA6"/>
    <w:rsid w:val="009F2CB9"/>
    <w:rsid w:val="009F30C2"/>
    <w:rsid w:val="009F344F"/>
    <w:rsid w:val="009F3917"/>
    <w:rsid w:val="009F43F9"/>
    <w:rsid w:val="009F4C8E"/>
    <w:rsid w:val="00A001E1"/>
    <w:rsid w:val="00A002AF"/>
    <w:rsid w:val="00A00890"/>
    <w:rsid w:val="00A0155F"/>
    <w:rsid w:val="00A01EA3"/>
    <w:rsid w:val="00A031D8"/>
    <w:rsid w:val="00A03542"/>
    <w:rsid w:val="00A0363F"/>
    <w:rsid w:val="00A037FF"/>
    <w:rsid w:val="00A048A8"/>
    <w:rsid w:val="00A04F49"/>
    <w:rsid w:val="00A105CF"/>
    <w:rsid w:val="00A11B5D"/>
    <w:rsid w:val="00A11FC0"/>
    <w:rsid w:val="00A13E54"/>
    <w:rsid w:val="00A14539"/>
    <w:rsid w:val="00A15643"/>
    <w:rsid w:val="00A1742D"/>
    <w:rsid w:val="00A17F63"/>
    <w:rsid w:val="00A20735"/>
    <w:rsid w:val="00A2193B"/>
    <w:rsid w:val="00A2351A"/>
    <w:rsid w:val="00A264A9"/>
    <w:rsid w:val="00A26DCF"/>
    <w:rsid w:val="00A27785"/>
    <w:rsid w:val="00A30187"/>
    <w:rsid w:val="00A31440"/>
    <w:rsid w:val="00A31867"/>
    <w:rsid w:val="00A3448A"/>
    <w:rsid w:val="00A36297"/>
    <w:rsid w:val="00A37530"/>
    <w:rsid w:val="00A40277"/>
    <w:rsid w:val="00A41E2B"/>
    <w:rsid w:val="00A43547"/>
    <w:rsid w:val="00A44102"/>
    <w:rsid w:val="00A45B74"/>
    <w:rsid w:val="00A46CEB"/>
    <w:rsid w:val="00A50568"/>
    <w:rsid w:val="00A5265A"/>
    <w:rsid w:val="00A52E1D"/>
    <w:rsid w:val="00A61499"/>
    <w:rsid w:val="00A62A77"/>
    <w:rsid w:val="00A63483"/>
    <w:rsid w:val="00A64D57"/>
    <w:rsid w:val="00A657D7"/>
    <w:rsid w:val="00A660AC"/>
    <w:rsid w:val="00A66CD4"/>
    <w:rsid w:val="00A66F75"/>
    <w:rsid w:val="00A6755A"/>
    <w:rsid w:val="00A67E6C"/>
    <w:rsid w:val="00A70C45"/>
    <w:rsid w:val="00A70D37"/>
    <w:rsid w:val="00A71864"/>
    <w:rsid w:val="00A71B99"/>
    <w:rsid w:val="00A72D6F"/>
    <w:rsid w:val="00A739D0"/>
    <w:rsid w:val="00A7575A"/>
    <w:rsid w:val="00A7589E"/>
    <w:rsid w:val="00A761D4"/>
    <w:rsid w:val="00A77847"/>
    <w:rsid w:val="00A77EC4"/>
    <w:rsid w:val="00A82C95"/>
    <w:rsid w:val="00A9071F"/>
    <w:rsid w:val="00A92879"/>
    <w:rsid w:val="00A93666"/>
    <w:rsid w:val="00A9442A"/>
    <w:rsid w:val="00AA016F"/>
    <w:rsid w:val="00AA089D"/>
    <w:rsid w:val="00AA1ED6"/>
    <w:rsid w:val="00AA2EE7"/>
    <w:rsid w:val="00AA3527"/>
    <w:rsid w:val="00AA51D6"/>
    <w:rsid w:val="00AA5227"/>
    <w:rsid w:val="00AA7067"/>
    <w:rsid w:val="00AA72B7"/>
    <w:rsid w:val="00AB0848"/>
    <w:rsid w:val="00AB0BC8"/>
    <w:rsid w:val="00AB1180"/>
    <w:rsid w:val="00AB11CA"/>
    <w:rsid w:val="00AB14D9"/>
    <w:rsid w:val="00AB30BD"/>
    <w:rsid w:val="00AB4AB8"/>
    <w:rsid w:val="00AB655E"/>
    <w:rsid w:val="00AB6CE6"/>
    <w:rsid w:val="00AC007F"/>
    <w:rsid w:val="00AC2447"/>
    <w:rsid w:val="00AC2ECD"/>
    <w:rsid w:val="00AC3119"/>
    <w:rsid w:val="00AC4397"/>
    <w:rsid w:val="00AC49FB"/>
    <w:rsid w:val="00AC5A10"/>
    <w:rsid w:val="00AC72B4"/>
    <w:rsid w:val="00AD0AA3"/>
    <w:rsid w:val="00AD19CA"/>
    <w:rsid w:val="00AD2ED0"/>
    <w:rsid w:val="00AD3910"/>
    <w:rsid w:val="00AD3F94"/>
    <w:rsid w:val="00AD4A5A"/>
    <w:rsid w:val="00AD7140"/>
    <w:rsid w:val="00AE0288"/>
    <w:rsid w:val="00AE27AC"/>
    <w:rsid w:val="00AE40E0"/>
    <w:rsid w:val="00AE4DBA"/>
    <w:rsid w:val="00AE4F07"/>
    <w:rsid w:val="00AE5B59"/>
    <w:rsid w:val="00AF0572"/>
    <w:rsid w:val="00AF1C5D"/>
    <w:rsid w:val="00AF341E"/>
    <w:rsid w:val="00AF42D7"/>
    <w:rsid w:val="00AF603B"/>
    <w:rsid w:val="00AF6B2C"/>
    <w:rsid w:val="00B006FE"/>
    <w:rsid w:val="00B007CB"/>
    <w:rsid w:val="00B009D1"/>
    <w:rsid w:val="00B00F5A"/>
    <w:rsid w:val="00B00FEB"/>
    <w:rsid w:val="00B011B3"/>
    <w:rsid w:val="00B01AA6"/>
    <w:rsid w:val="00B01CBE"/>
    <w:rsid w:val="00B02AA9"/>
    <w:rsid w:val="00B02FA3"/>
    <w:rsid w:val="00B03821"/>
    <w:rsid w:val="00B0496B"/>
    <w:rsid w:val="00B05084"/>
    <w:rsid w:val="00B061DC"/>
    <w:rsid w:val="00B061E2"/>
    <w:rsid w:val="00B066B0"/>
    <w:rsid w:val="00B06944"/>
    <w:rsid w:val="00B11186"/>
    <w:rsid w:val="00B1314C"/>
    <w:rsid w:val="00B13A10"/>
    <w:rsid w:val="00B143E6"/>
    <w:rsid w:val="00B157F9"/>
    <w:rsid w:val="00B16AF5"/>
    <w:rsid w:val="00B201C7"/>
    <w:rsid w:val="00B20256"/>
    <w:rsid w:val="00B204D4"/>
    <w:rsid w:val="00B20D09"/>
    <w:rsid w:val="00B24977"/>
    <w:rsid w:val="00B24C1A"/>
    <w:rsid w:val="00B2763F"/>
    <w:rsid w:val="00B27AAC"/>
    <w:rsid w:val="00B30929"/>
    <w:rsid w:val="00B33ADC"/>
    <w:rsid w:val="00B3651F"/>
    <w:rsid w:val="00B372AA"/>
    <w:rsid w:val="00B40445"/>
    <w:rsid w:val="00B409E0"/>
    <w:rsid w:val="00B41888"/>
    <w:rsid w:val="00B42C17"/>
    <w:rsid w:val="00B45A52"/>
    <w:rsid w:val="00B46175"/>
    <w:rsid w:val="00B46C71"/>
    <w:rsid w:val="00B50CF6"/>
    <w:rsid w:val="00B53ED8"/>
    <w:rsid w:val="00B541F4"/>
    <w:rsid w:val="00B548B7"/>
    <w:rsid w:val="00B55607"/>
    <w:rsid w:val="00B60029"/>
    <w:rsid w:val="00B605B1"/>
    <w:rsid w:val="00B65F5A"/>
    <w:rsid w:val="00B664C7"/>
    <w:rsid w:val="00B675CB"/>
    <w:rsid w:val="00B71A83"/>
    <w:rsid w:val="00B71C47"/>
    <w:rsid w:val="00B73054"/>
    <w:rsid w:val="00B73323"/>
    <w:rsid w:val="00B739F6"/>
    <w:rsid w:val="00B744C0"/>
    <w:rsid w:val="00B75509"/>
    <w:rsid w:val="00B76820"/>
    <w:rsid w:val="00B817E5"/>
    <w:rsid w:val="00B81A6C"/>
    <w:rsid w:val="00B821FE"/>
    <w:rsid w:val="00B85378"/>
    <w:rsid w:val="00B85DE5"/>
    <w:rsid w:val="00B90727"/>
    <w:rsid w:val="00B909B9"/>
    <w:rsid w:val="00B90F73"/>
    <w:rsid w:val="00B93B59"/>
    <w:rsid w:val="00B9406A"/>
    <w:rsid w:val="00B94B76"/>
    <w:rsid w:val="00B97A8E"/>
    <w:rsid w:val="00BA0C07"/>
    <w:rsid w:val="00BA1283"/>
    <w:rsid w:val="00BA1A84"/>
    <w:rsid w:val="00BA2280"/>
    <w:rsid w:val="00BA2A08"/>
    <w:rsid w:val="00BA56D2"/>
    <w:rsid w:val="00BA5FE8"/>
    <w:rsid w:val="00BA76E0"/>
    <w:rsid w:val="00BB0257"/>
    <w:rsid w:val="00BB22AB"/>
    <w:rsid w:val="00BB2A25"/>
    <w:rsid w:val="00BB4EA0"/>
    <w:rsid w:val="00BB51E9"/>
    <w:rsid w:val="00BC0ED3"/>
    <w:rsid w:val="00BC0FDC"/>
    <w:rsid w:val="00BC3053"/>
    <w:rsid w:val="00BC4D2E"/>
    <w:rsid w:val="00BC5C65"/>
    <w:rsid w:val="00BD3BE6"/>
    <w:rsid w:val="00BD48AC"/>
    <w:rsid w:val="00BD54BB"/>
    <w:rsid w:val="00BD5F1A"/>
    <w:rsid w:val="00BD6586"/>
    <w:rsid w:val="00BD7324"/>
    <w:rsid w:val="00BD73A8"/>
    <w:rsid w:val="00BE1131"/>
    <w:rsid w:val="00BE1234"/>
    <w:rsid w:val="00BE2FA6"/>
    <w:rsid w:val="00BE333F"/>
    <w:rsid w:val="00BE590B"/>
    <w:rsid w:val="00BE7406"/>
    <w:rsid w:val="00BE7603"/>
    <w:rsid w:val="00BE7B5B"/>
    <w:rsid w:val="00BF1764"/>
    <w:rsid w:val="00BF3279"/>
    <w:rsid w:val="00BF4274"/>
    <w:rsid w:val="00BF4825"/>
    <w:rsid w:val="00BF65CA"/>
    <w:rsid w:val="00BF74C7"/>
    <w:rsid w:val="00BF7D9A"/>
    <w:rsid w:val="00C015F1"/>
    <w:rsid w:val="00C01731"/>
    <w:rsid w:val="00C01F33"/>
    <w:rsid w:val="00C02CC6"/>
    <w:rsid w:val="00C040F7"/>
    <w:rsid w:val="00C044AB"/>
    <w:rsid w:val="00C05706"/>
    <w:rsid w:val="00C05BC4"/>
    <w:rsid w:val="00C07377"/>
    <w:rsid w:val="00C10478"/>
    <w:rsid w:val="00C11EFF"/>
    <w:rsid w:val="00C12107"/>
    <w:rsid w:val="00C14D4B"/>
    <w:rsid w:val="00C154BB"/>
    <w:rsid w:val="00C272E0"/>
    <w:rsid w:val="00C279B5"/>
    <w:rsid w:val="00C27C45"/>
    <w:rsid w:val="00C30B98"/>
    <w:rsid w:val="00C31FF4"/>
    <w:rsid w:val="00C32FD2"/>
    <w:rsid w:val="00C332E5"/>
    <w:rsid w:val="00C335F7"/>
    <w:rsid w:val="00C3398A"/>
    <w:rsid w:val="00C34350"/>
    <w:rsid w:val="00C35ABA"/>
    <w:rsid w:val="00C3719D"/>
    <w:rsid w:val="00C37BD0"/>
    <w:rsid w:val="00C37C74"/>
    <w:rsid w:val="00C37CB2"/>
    <w:rsid w:val="00C4339A"/>
    <w:rsid w:val="00C473A5"/>
    <w:rsid w:val="00C54995"/>
    <w:rsid w:val="00C54D41"/>
    <w:rsid w:val="00C54F64"/>
    <w:rsid w:val="00C56C0B"/>
    <w:rsid w:val="00C60783"/>
    <w:rsid w:val="00C64672"/>
    <w:rsid w:val="00C65AAC"/>
    <w:rsid w:val="00C70697"/>
    <w:rsid w:val="00C72093"/>
    <w:rsid w:val="00C72EF4"/>
    <w:rsid w:val="00C7382D"/>
    <w:rsid w:val="00C744FE"/>
    <w:rsid w:val="00C75D2F"/>
    <w:rsid w:val="00C767BE"/>
    <w:rsid w:val="00C76E3C"/>
    <w:rsid w:val="00C77C90"/>
    <w:rsid w:val="00C81256"/>
    <w:rsid w:val="00C81568"/>
    <w:rsid w:val="00C86299"/>
    <w:rsid w:val="00C8750E"/>
    <w:rsid w:val="00C9026E"/>
    <w:rsid w:val="00C9027A"/>
    <w:rsid w:val="00C9068E"/>
    <w:rsid w:val="00C91F88"/>
    <w:rsid w:val="00C93764"/>
    <w:rsid w:val="00C93814"/>
    <w:rsid w:val="00C93C4B"/>
    <w:rsid w:val="00C93F53"/>
    <w:rsid w:val="00C944AB"/>
    <w:rsid w:val="00C94A2E"/>
    <w:rsid w:val="00C95B40"/>
    <w:rsid w:val="00CA0E05"/>
    <w:rsid w:val="00CA0EFA"/>
    <w:rsid w:val="00CA1ED8"/>
    <w:rsid w:val="00CA36E9"/>
    <w:rsid w:val="00CA3E28"/>
    <w:rsid w:val="00CA5621"/>
    <w:rsid w:val="00CA71F9"/>
    <w:rsid w:val="00CB1F63"/>
    <w:rsid w:val="00CB27BD"/>
    <w:rsid w:val="00CB2B63"/>
    <w:rsid w:val="00CB43F2"/>
    <w:rsid w:val="00CB5EC7"/>
    <w:rsid w:val="00CB5F0B"/>
    <w:rsid w:val="00CB62EB"/>
    <w:rsid w:val="00CB7170"/>
    <w:rsid w:val="00CC040E"/>
    <w:rsid w:val="00CC111F"/>
    <w:rsid w:val="00CC1FEC"/>
    <w:rsid w:val="00CC2011"/>
    <w:rsid w:val="00CC2D2B"/>
    <w:rsid w:val="00CC3EA0"/>
    <w:rsid w:val="00CC4DC0"/>
    <w:rsid w:val="00CC7B45"/>
    <w:rsid w:val="00CD1188"/>
    <w:rsid w:val="00CD2ED1"/>
    <w:rsid w:val="00CD337B"/>
    <w:rsid w:val="00CD6314"/>
    <w:rsid w:val="00CE0424"/>
    <w:rsid w:val="00CE2D6A"/>
    <w:rsid w:val="00CE50FA"/>
    <w:rsid w:val="00CE708A"/>
    <w:rsid w:val="00CE7561"/>
    <w:rsid w:val="00CF1354"/>
    <w:rsid w:val="00CF3B1F"/>
    <w:rsid w:val="00CF3BF6"/>
    <w:rsid w:val="00CF514C"/>
    <w:rsid w:val="00CF625B"/>
    <w:rsid w:val="00CF687E"/>
    <w:rsid w:val="00CF787E"/>
    <w:rsid w:val="00CF7F20"/>
    <w:rsid w:val="00D00B65"/>
    <w:rsid w:val="00D00FAD"/>
    <w:rsid w:val="00D0349B"/>
    <w:rsid w:val="00D0503E"/>
    <w:rsid w:val="00D069C9"/>
    <w:rsid w:val="00D06DE9"/>
    <w:rsid w:val="00D10249"/>
    <w:rsid w:val="00D10D0D"/>
    <w:rsid w:val="00D115C3"/>
    <w:rsid w:val="00D11897"/>
    <w:rsid w:val="00D11E65"/>
    <w:rsid w:val="00D13064"/>
    <w:rsid w:val="00D130FB"/>
    <w:rsid w:val="00D13135"/>
    <w:rsid w:val="00D13E4E"/>
    <w:rsid w:val="00D17043"/>
    <w:rsid w:val="00D239A7"/>
    <w:rsid w:val="00D23F47"/>
    <w:rsid w:val="00D25E06"/>
    <w:rsid w:val="00D3188C"/>
    <w:rsid w:val="00D358BE"/>
    <w:rsid w:val="00D36E71"/>
    <w:rsid w:val="00D37D87"/>
    <w:rsid w:val="00D40303"/>
    <w:rsid w:val="00D405D7"/>
    <w:rsid w:val="00D40B33"/>
    <w:rsid w:val="00D4318F"/>
    <w:rsid w:val="00D437AE"/>
    <w:rsid w:val="00D438BF"/>
    <w:rsid w:val="00D440F8"/>
    <w:rsid w:val="00D47067"/>
    <w:rsid w:val="00D519ED"/>
    <w:rsid w:val="00D525F0"/>
    <w:rsid w:val="00D53DAB"/>
    <w:rsid w:val="00D54589"/>
    <w:rsid w:val="00D546FF"/>
    <w:rsid w:val="00D54EF6"/>
    <w:rsid w:val="00D55AD5"/>
    <w:rsid w:val="00D576CA"/>
    <w:rsid w:val="00D6125A"/>
    <w:rsid w:val="00D61AF5"/>
    <w:rsid w:val="00D61F85"/>
    <w:rsid w:val="00D62286"/>
    <w:rsid w:val="00D62B7D"/>
    <w:rsid w:val="00D652B5"/>
    <w:rsid w:val="00D66155"/>
    <w:rsid w:val="00D665ED"/>
    <w:rsid w:val="00D66A15"/>
    <w:rsid w:val="00D67B79"/>
    <w:rsid w:val="00D70600"/>
    <w:rsid w:val="00D708B0"/>
    <w:rsid w:val="00D718AC"/>
    <w:rsid w:val="00D739FB"/>
    <w:rsid w:val="00D75FA1"/>
    <w:rsid w:val="00D77B1D"/>
    <w:rsid w:val="00D8021F"/>
    <w:rsid w:val="00D80383"/>
    <w:rsid w:val="00D823C6"/>
    <w:rsid w:val="00D8327F"/>
    <w:rsid w:val="00D860EB"/>
    <w:rsid w:val="00D866E5"/>
    <w:rsid w:val="00D86C8F"/>
    <w:rsid w:val="00D86CA3"/>
    <w:rsid w:val="00D871CE"/>
    <w:rsid w:val="00D87DCD"/>
    <w:rsid w:val="00D87E49"/>
    <w:rsid w:val="00D90217"/>
    <w:rsid w:val="00D9196D"/>
    <w:rsid w:val="00D92982"/>
    <w:rsid w:val="00D930DE"/>
    <w:rsid w:val="00D9605C"/>
    <w:rsid w:val="00D979C3"/>
    <w:rsid w:val="00DA275B"/>
    <w:rsid w:val="00DA305E"/>
    <w:rsid w:val="00DA5417"/>
    <w:rsid w:val="00DA56E8"/>
    <w:rsid w:val="00DA7460"/>
    <w:rsid w:val="00DA7473"/>
    <w:rsid w:val="00DB0A9F"/>
    <w:rsid w:val="00DB0E57"/>
    <w:rsid w:val="00DB1BF3"/>
    <w:rsid w:val="00DB377D"/>
    <w:rsid w:val="00DB3B3C"/>
    <w:rsid w:val="00DB5358"/>
    <w:rsid w:val="00DB690B"/>
    <w:rsid w:val="00DB7CB9"/>
    <w:rsid w:val="00DC275F"/>
    <w:rsid w:val="00DC2D36"/>
    <w:rsid w:val="00DC53EF"/>
    <w:rsid w:val="00DC7E6F"/>
    <w:rsid w:val="00DC7EB8"/>
    <w:rsid w:val="00DD0204"/>
    <w:rsid w:val="00DD689F"/>
    <w:rsid w:val="00DD6E5E"/>
    <w:rsid w:val="00DD7470"/>
    <w:rsid w:val="00DE3ED6"/>
    <w:rsid w:val="00DE5608"/>
    <w:rsid w:val="00DE58D0"/>
    <w:rsid w:val="00DE654F"/>
    <w:rsid w:val="00DF0B6E"/>
    <w:rsid w:val="00DF15E0"/>
    <w:rsid w:val="00DF1F62"/>
    <w:rsid w:val="00DF2C4A"/>
    <w:rsid w:val="00DF37A0"/>
    <w:rsid w:val="00DF4550"/>
    <w:rsid w:val="00DF68B7"/>
    <w:rsid w:val="00E0106F"/>
    <w:rsid w:val="00E05ABC"/>
    <w:rsid w:val="00E110E7"/>
    <w:rsid w:val="00E11594"/>
    <w:rsid w:val="00E11B20"/>
    <w:rsid w:val="00E1342D"/>
    <w:rsid w:val="00E142E7"/>
    <w:rsid w:val="00E16D9B"/>
    <w:rsid w:val="00E17FA2"/>
    <w:rsid w:val="00E213E1"/>
    <w:rsid w:val="00E22330"/>
    <w:rsid w:val="00E22397"/>
    <w:rsid w:val="00E30087"/>
    <w:rsid w:val="00E30AE6"/>
    <w:rsid w:val="00E30B5A"/>
    <w:rsid w:val="00E30D67"/>
    <w:rsid w:val="00E3123D"/>
    <w:rsid w:val="00E31461"/>
    <w:rsid w:val="00E31D43"/>
    <w:rsid w:val="00E3249F"/>
    <w:rsid w:val="00E32608"/>
    <w:rsid w:val="00E33B71"/>
    <w:rsid w:val="00E34188"/>
    <w:rsid w:val="00E34B6E"/>
    <w:rsid w:val="00E35559"/>
    <w:rsid w:val="00E3723A"/>
    <w:rsid w:val="00E37860"/>
    <w:rsid w:val="00E40688"/>
    <w:rsid w:val="00E40A18"/>
    <w:rsid w:val="00E4193E"/>
    <w:rsid w:val="00E446F1"/>
    <w:rsid w:val="00E45773"/>
    <w:rsid w:val="00E46886"/>
    <w:rsid w:val="00E46D72"/>
    <w:rsid w:val="00E47AEF"/>
    <w:rsid w:val="00E50D6F"/>
    <w:rsid w:val="00E53B75"/>
    <w:rsid w:val="00E54E3B"/>
    <w:rsid w:val="00E57565"/>
    <w:rsid w:val="00E57611"/>
    <w:rsid w:val="00E634FF"/>
    <w:rsid w:val="00E63838"/>
    <w:rsid w:val="00E64434"/>
    <w:rsid w:val="00E67C51"/>
    <w:rsid w:val="00E708A7"/>
    <w:rsid w:val="00E70CDB"/>
    <w:rsid w:val="00E71141"/>
    <w:rsid w:val="00E7185D"/>
    <w:rsid w:val="00E72EFC"/>
    <w:rsid w:val="00E72FF2"/>
    <w:rsid w:val="00E74A41"/>
    <w:rsid w:val="00E75672"/>
    <w:rsid w:val="00E758EC"/>
    <w:rsid w:val="00E7598B"/>
    <w:rsid w:val="00E8234C"/>
    <w:rsid w:val="00E832D8"/>
    <w:rsid w:val="00E83AA9"/>
    <w:rsid w:val="00E840AC"/>
    <w:rsid w:val="00E85928"/>
    <w:rsid w:val="00E87822"/>
    <w:rsid w:val="00E90395"/>
    <w:rsid w:val="00E90E49"/>
    <w:rsid w:val="00E91543"/>
    <w:rsid w:val="00E917F9"/>
    <w:rsid w:val="00E91D23"/>
    <w:rsid w:val="00E921C6"/>
    <w:rsid w:val="00E9291C"/>
    <w:rsid w:val="00E93FFE"/>
    <w:rsid w:val="00E94F8A"/>
    <w:rsid w:val="00EA42CF"/>
    <w:rsid w:val="00EA5921"/>
    <w:rsid w:val="00EA7760"/>
    <w:rsid w:val="00EA7A41"/>
    <w:rsid w:val="00EB077B"/>
    <w:rsid w:val="00EB2133"/>
    <w:rsid w:val="00EB4EA2"/>
    <w:rsid w:val="00EB6DCE"/>
    <w:rsid w:val="00EB7211"/>
    <w:rsid w:val="00EC24D5"/>
    <w:rsid w:val="00EC27C6"/>
    <w:rsid w:val="00EC4207"/>
    <w:rsid w:val="00EC5653"/>
    <w:rsid w:val="00EC71CE"/>
    <w:rsid w:val="00ED1006"/>
    <w:rsid w:val="00ED38C6"/>
    <w:rsid w:val="00ED428F"/>
    <w:rsid w:val="00EE43DF"/>
    <w:rsid w:val="00EF0813"/>
    <w:rsid w:val="00EF0CBF"/>
    <w:rsid w:val="00EF18FE"/>
    <w:rsid w:val="00EF21E3"/>
    <w:rsid w:val="00EF2D03"/>
    <w:rsid w:val="00EF5787"/>
    <w:rsid w:val="00EF580D"/>
    <w:rsid w:val="00EF60D0"/>
    <w:rsid w:val="00EF742C"/>
    <w:rsid w:val="00F003CB"/>
    <w:rsid w:val="00F0528D"/>
    <w:rsid w:val="00F058BA"/>
    <w:rsid w:val="00F06395"/>
    <w:rsid w:val="00F06C67"/>
    <w:rsid w:val="00F06DFD"/>
    <w:rsid w:val="00F071D1"/>
    <w:rsid w:val="00F07533"/>
    <w:rsid w:val="00F10629"/>
    <w:rsid w:val="00F11F3E"/>
    <w:rsid w:val="00F13D48"/>
    <w:rsid w:val="00F15FA5"/>
    <w:rsid w:val="00F200C6"/>
    <w:rsid w:val="00F209B7"/>
    <w:rsid w:val="00F2376F"/>
    <w:rsid w:val="00F23A93"/>
    <w:rsid w:val="00F243D8"/>
    <w:rsid w:val="00F24EDB"/>
    <w:rsid w:val="00F30828"/>
    <w:rsid w:val="00F30D90"/>
    <w:rsid w:val="00F313D6"/>
    <w:rsid w:val="00F318F1"/>
    <w:rsid w:val="00F31ED9"/>
    <w:rsid w:val="00F35C89"/>
    <w:rsid w:val="00F40F0C"/>
    <w:rsid w:val="00F43B38"/>
    <w:rsid w:val="00F451FF"/>
    <w:rsid w:val="00F4766C"/>
    <w:rsid w:val="00F5060E"/>
    <w:rsid w:val="00F507D1"/>
    <w:rsid w:val="00F51198"/>
    <w:rsid w:val="00F519CE"/>
    <w:rsid w:val="00F51ADA"/>
    <w:rsid w:val="00F53103"/>
    <w:rsid w:val="00F53FCB"/>
    <w:rsid w:val="00F577DD"/>
    <w:rsid w:val="00F60203"/>
    <w:rsid w:val="00F60617"/>
    <w:rsid w:val="00F607C5"/>
    <w:rsid w:val="00F60DEA"/>
    <w:rsid w:val="00F6283B"/>
    <w:rsid w:val="00F6302A"/>
    <w:rsid w:val="00F6348C"/>
    <w:rsid w:val="00F63950"/>
    <w:rsid w:val="00F63CA1"/>
    <w:rsid w:val="00F64904"/>
    <w:rsid w:val="00F64C2B"/>
    <w:rsid w:val="00F651BE"/>
    <w:rsid w:val="00F67F53"/>
    <w:rsid w:val="00F70266"/>
    <w:rsid w:val="00F703BE"/>
    <w:rsid w:val="00F71F69"/>
    <w:rsid w:val="00F72B72"/>
    <w:rsid w:val="00F74BB9"/>
    <w:rsid w:val="00F74F6B"/>
    <w:rsid w:val="00F75582"/>
    <w:rsid w:val="00F76B2B"/>
    <w:rsid w:val="00F76EFA"/>
    <w:rsid w:val="00F77247"/>
    <w:rsid w:val="00F804BE"/>
    <w:rsid w:val="00F8067F"/>
    <w:rsid w:val="00F817CE"/>
    <w:rsid w:val="00F8210A"/>
    <w:rsid w:val="00F83F38"/>
    <w:rsid w:val="00F8456C"/>
    <w:rsid w:val="00F84664"/>
    <w:rsid w:val="00F84902"/>
    <w:rsid w:val="00F84EEE"/>
    <w:rsid w:val="00F859D8"/>
    <w:rsid w:val="00F868F5"/>
    <w:rsid w:val="00F9056A"/>
    <w:rsid w:val="00F90F8D"/>
    <w:rsid w:val="00F92782"/>
    <w:rsid w:val="00F93AA9"/>
    <w:rsid w:val="00F95C02"/>
    <w:rsid w:val="00F95D24"/>
    <w:rsid w:val="00F96985"/>
    <w:rsid w:val="00F97838"/>
    <w:rsid w:val="00F97E18"/>
    <w:rsid w:val="00FA2BB3"/>
    <w:rsid w:val="00FA44B3"/>
    <w:rsid w:val="00FA4722"/>
    <w:rsid w:val="00FA5E5F"/>
    <w:rsid w:val="00FA620E"/>
    <w:rsid w:val="00FA6B8E"/>
    <w:rsid w:val="00FA7E97"/>
    <w:rsid w:val="00FA7FEF"/>
    <w:rsid w:val="00FB3691"/>
    <w:rsid w:val="00FB4C80"/>
    <w:rsid w:val="00FB5D96"/>
    <w:rsid w:val="00FB6A6A"/>
    <w:rsid w:val="00FB6DB0"/>
    <w:rsid w:val="00FB7792"/>
    <w:rsid w:val="00FB7F78"/>
    <w:rsid w:val="00FC032E"/>
    <w:rsid w:val="00FC0DF8"/>
    <w:rsid w:val="00FC115D"/>
    <w:rsid w:val="00FC7429"/>
    <w:rsid w:val="00FD07F6"/>
    <w:rsid w:val="00FD1EC8"/>
    <w:rsid w:val="00FD4630"/>
    <w:rsid w:val="00FD47ED"/>
    <w:rsid w:val="00FD74DB"/>
    <w:rsid w:val="00FD7660"/>
    <w:rsid w:val="00FE0655"/>
    <w:rsid w:val="00FE2365"/>
    <w:rsid w:val="00FE2E1E"/>
    <w:rsid w:val="00FE37D7"/>
    <w:rsid w:val="00FE3FA0"/>
    <w:rsid w:val="00FE4C7B"/>
    <w:rsid w:val="00FE5B18"/>
    <w:rsid w:val="00FE629B"/>
    <w:rsid w:val="00FE7336"/>
    <w:rsid w:val="00FE787C"/>
    <w:rsid w:val="00FF25E5"/>
    <w:rsid w:val="00FF45A5"/>
    <w:rsid w:val="00FF5C91"/>
    <w:rsid w:val="07107777"/>
    <w:rsid w:val="0999AA91"/>
    <w:rsid w:val="0AD865F4"/>
    <w:rsid w:val="10ED18DB"/>
    <w:rsid w:val="241C3FA7"/>
    <w:rsid w:val="2536887F"/>
    <w:rsid w:val="29191FB5"/>
    <w:rsid w:val="3E8B8418"/>
    <w:rsid w:val="446979E9"/>
    <w:rsid w:val="490E0603"/>
    <w:rsid w:val="5CDAB0FF"/>
    <w:rsid w:val="61BB44AC"/>
    <w:rsid w:val="6A4DBFE9"/>
    <w:rsid w:val="6EA2B88C"/>
    <w:rsid w:val="6FE4DCE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010558"/>
  <w15:chartTrackingRefBased/>
  <w15:docId w15:val="{ADE09486-ECD5-4287-97E5-348F6CD1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0DE"/>
    <w:pPr>
      <w:spacing w:after="160" w:line="259" w:lineRule="auto"/>
    </w:pPr>
    <w:rPr>
      <w:rFonts w:asciiTheme="minorHAnsi" w:eastAsiaTheme="minorHAnsi" w:hAnsiTheme="minorHAnsi" w:cstheme="minorBidi"/>
      <w:noProof/>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930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30D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A5265A"/>
    <w:rPr>
      <w:color w:val="605E5C"/>
      <w:shd w:val="clear" w:color="auto" w:fill="E1DFDD"/>
    </w:rPr>
  </w:style>
  <w:style w:type="character" w:styleId="Mention">
    <w:name w:val="Mention"/>
    <w:basedOn w:val="DefaultParagraphFont"/>
    <w:uiPriority w:val="99"/>
    <w:unhideWhenUsed/>
    <w:rsid w:val="00A5265A"/>
    <w:rPr>
      <w:color w:val="2B579A"/>
      <w:shd w:val="clear" w:color="auto" w:fill="E1DFDD"/>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sid w:val="003E4DB2"/>
    <w:rPr>
      <w:rFonts w:asciiTheme="minorHAnsi" w:eastAsiaTheme="minorHAnsi" w:hAnsiTheme="minorHAnsi" w:cstheme="minorBidi"/>
      <w:b/>
      <w:sz w:val="22"/>
      <w:szCs w:val="22"/>
    </w:rPr>
  </w:style>
  <w:style w:type="character" w:customStyle="1" w:styleId="emoticon-hidden-text">
    <w:name w:val="emoticon-hidden-text"/>
    <w:basedOn w:val="DefaultParagraphFont"/>
    <w:rsid w:val="00B909B9"/>
  </w:style>
  <w:style w:type="paragraph" w:styleId="Revision">
    <w:name w:val="Revision"/>
    <w:hidden/>
    <w:uiPriority w:val="99"/>
    <w:semiHidden/>
    <w:rsid w:val="007F563A"/>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274008">
      <w:bodyDiv w:val="1"/>
      <w:marLeft w:val="0"/>
      <w:marRight w:val="0"/>
      <w:marTop w:val="0"/>
      <w:marBottom w:val="0"/>
      <w:divBdr>
        <w:top w:val="none" w:sz="0" w:space="0" w:color="auto"/>
        <w:left w:val="none" w:sz="0" w:space="0" w:color="auto"/>
        <w:bottom w:val="none" w:sz="0" w:space="0" w:color="auto"/>
        <w:right w:val="none" w:sz="0" w:space="0" w:color="auto"/>
      </w:divBdr>
    </w:div>
    <w:div w:id="301034787">
      <w:bodyDiv w:val="1"/>
      <w:marLeft w:val="0"/>
      <w:marRight w:val="0"/>
      <w:marTop w:val="0"/>
      <w:marBottom w:val="0"/>
      <w:divBdr>
        <w:top w:val="none" w:sz="0" w:space="0" w:color="auto"/>
        <w:left w:val="none" w:sz="0" w:space="0" w:color="auto"/>
        <w:bottom w:val="none" w:sz="0" w:space="0" w:color="auto"/>
        <w:right w:val="none" w:sz="0" w:space="0" w:color="auto"/>
      </w:divBdr>
      <w:divsChild>
        <w:div w:id="1645162474">
          <w:marLeft w:val="288"/>
          <w:marRight w:val="0"/>
          <w:marTop w:val="240"/>
          <w:marBottom w:val="0"/>
          <w:divBdr>
            <w:top w:val="none" w:sz="0" w:space="0" w:color="auto"/>
            <w:left w:val="none" w:sz="0" w:space="0" w:color="auto"/>
            <w:bottom w:val="none" w:sz="0" w:space="0" w:color="auto"/>
            <w:right w:val="none" w:sz="0" w:space="0" w:color="auto"/>
          </w:divBdr>
        </w:div>
        <w:div w:id="1056203967">
          <w:marLeft w:val="288"/>
          <w:marRight w:val="0"/>
          <w:marTop w:val="240"/>
          <w:marBottom w:val="0"/>
          <w:divBdr>
            <w:top w:val="none" w:sz="0" w:space="0" w:color="auto"/>
            <w:left w:val="none" w:sz="0" w:space="0" w:color="auto"/>
            <w:bottom w:val="none" w:sz="0" w:space="0" w:color="auto"/>
            <w:right w:val="none" w:sz="0" w:space="0" w:color="auto"/>
          </w:divBdr>
        </w:div>
      </w:divsChild>
    </w:div>
    <w:div w:id="352271032">
      <w:bodyDiv w:val="1"/>
      <w:marLeft w:val="0"/>
      <w:marRight w:val="0"/>
      <w:marTop w:val="0"/>
      <w:marBottom w:val="0"/>
      <w:divBdr>
        <w:top w:val="none" w:sz="0" w:space="0" w:color="auto"/>
        <w:left w:val="none" w:sz="0" w:space="0" w:color="auto"/>
        <w:bottom w:val="none" w:sz="0" w:space="0" w:color="auto"/>
        <w:right w:val="none" w:sz="0" w:space="0" w:color="auto"/>
      </w:divBdr>
      <w:divsChild>
        <w:div w:id="2108696663">
          <w:marLeft w:val="576"/>
          <w:marRight w:val="0"/>
          <w:marTop w:val="160"/>
          <w:marBottom w:val="0"/>
          <w:divBdr>
            <w:top w:val="none" w:sz="0" w:space="0" w:color="auto"/>
            <w:left w:val="none" w:sz="0" w:space="0" w:color="auto"/>
            <w:bottom w:val="none" w:sz="0" w:space="0" w:color="auto"/>
            <w:right w:val="none" w:sz="0" w:space="0" w:color="auto"/>
          </w:divBdr>
        </w:div>
        <w:div w:id="1681808581">
          <w:marLeft w:val="850"/>
          <w:marRight w:val="0"/>
          <w:marTop w:val="160"/>
          <w:marBottom w:val="0"/>
          <w:divBdr>
            <w:top w:val="none" w:sz="0" w:space="0" w:color="auto"/>
            <w:left w:val="none" w:sz="0" w:space="0" w:color="auto"/>
            <w:bottom w:val="none" w:sz="0" w:space="0" w:color="auto"/>
            <w:right w:val="none" w:sz="0" w:space="0" w:color="auto"/>
          </w:divBdr>
        </w:div>
        <w:div w:id="831068339">
          <w:marLeft w:val="850"/>
          <w:marRight w:val="0"/>
          <w:marTop w:val="160"/>
          <w:marBottom w:val="0"/>
          <w:divBdr>
            <w:top w:val="none" w:sz="0" w:space="0" w:color="auto"/>
            <w:left w:val="none" w:sz="0" w:space="0" w:color="auto"/>
            <w:bottom w:val="none" w:sz="0" w:space="0" w:color="auto"/>
            <w:right w:val="none" w:sz="0" w:space="0" w:color="auto"/>
          </w:divBdr>
        </w:div>
      </w:divsChild>
    </w:div>
    <w:div w:id="397023737">
      <w:bodyDiv w:val="1"/>
      <w:marLeft w:val="0"/>
      <w:marRight w:val="0"/>
      <w:marTop w:val="0"/>
      <w:marBottom w:val="0"/>
      <w:divBdr>
        <w:top w:val="none" w:sz="0" w:space="0" w:color="auto"/>
        <w:left w:val="none" w:sz="0" w:space="0" w:color="auto"/>
        <w:bottom w:val="none" w:sz="0" w:space="0" w:color="auto"/>
        <w:right w:val="none" w:sz="0" w:space="0" w:color="auto"/>
      </w:divBdr>
    </w:div>
    <w:div w:id="506791451">
      <w:bodyDiv w:val="1"/>
      <w:marLeft w:val="0"/>
      <w:marRight w:val="0"/>
      <w:marTop w:val="0"/>
      <w:marBottom w:val="0"/>
      <w:divBdr>
        <w:top w:val="none" w:sz="0" w:space="0" w:color="auto"/>
        <w:left w:val="none" w:sz="0" w:space="0" w:color="auto"/>
        <w:bottom w:val="none" w:sz="0" w:space="0" w:color="auto"/>
        <w:right w:val="none" w:sz="0" w:space="0" w:color="auto"/>
      </w:divBdr>
    </w:div>
    <w:div w:id="527642821">
      <w:bodyDiv w:val="1"/>
      <w:marLeft w:val="0"/>
      <w:marRight w:val="0"/>
      <w:marTop w:val="0"/>
      <w:marBottom w:val="0"/>
      <w:divBdr>
        <w:top w:val="none" w:sz="0" w:space="0" w:color="auto"/>
        <w:left w:val="none" w:sz="0" w:space="0" w:color="auto"/>
        <w:bottom w:val="none" w:sz="0" w:space="0" w:color="auto"/>
        <w:right w:val="none" w:sz="0" w:space="0" w:color="auto"/>
      </w:divBdr>
    </w:div>
    <w:div w:id="611595230">
      <w:bodyDiv w:val="1"/>
      <w:marLeft w:val="0"/>
      <w:marRight w:val="0"/>
      <w:marTop w:val="0"/>
      <w:marBottom w:val="0"/>
      <w:divBdr>
        <w:top w:val="none" w:sz="0" w:space="0" w:color="auto"/>
        <w:left w:val="none" w:sz="0" w:space="0" w:color="auto"/>
        <w:bottom w:val="none" w:sz="0" w:space="0" w:color="auto"/>
        <w:right w:val="none" w:sz="0" w:space="0" w:color="auto"/>
      </w:divBdr>
    </w:div>
    <w:div w:id="1017731566">
      <w:bodyDiv w:val="1"/>
      <w:marLeft w:val="0"/>
      <w:marRight w:val="0"/>
      <w:marTop w:val="0"/>
      <w:marBottom w:val="0"/>
      <w:divBdr>
        <w:top w:val="none" w:sz="0" w:space="0" w:color="auto"/>
        <w:left w:val="none" w:sz="0" w:space="0" w:color="auto"/>
        <w:bottom w:val="none" w:sz="0" w:space="0" w:color="auto"/>
        <w:right w:val="none" w:sz="0" w:space="0" w:color="auto"/>
      </w:divBdr>
    </w:div>
    <w:div w:id="1161893939">
      <w:bodyDiv w:val="1"/>
      <w:marLeft w:val="0"/>
      <w:marRight w:val="0"/>
      <w:marTop w:val="0"/>
      <w:marBottom w:val="0"/>
      <w:divBdr>
        <w:top w:val="none" w:sz="0" w:space="0" w:color="auto"/>
        <w:left w:val="none" w:sz="0" w:space="0" w:color="auto"/>
        <w:bottom w:val="none" w:sz="0" w:space="0" w:color="auto"/>
        <w:right w:val="none" w:sz="0" w:space="0" w:color="auto"/>
      </w:divBdr>
    </w:div>
    <w:div w:id="1218398595">
      <w:bodyDiv w:val="1"/>
      <w:marLeft w:val="0"/>
      <w:marRight w:val="0"/>
      <w:marTop w:val="0"/>
      <w:marBottom w:val="0"/>
      <w:divBdr>
        <w:top w:val="none" w:sz="0" w:space="0" w:color="auto"/>
        <w:left w:val="none" w:sz="0" w:space="0" w:color="auto"/>
        <w:bottom w:val="none" w:sz="0" w:space="0" w:color="auto"/>
        <w:right w:val="none" w:sz="0" w:space="0" w:color="auto"/>
      </w:divBdr>
    </w:div>
    <w:div w:id="1246189910">
      <w:bodyDiv w:val="1"/>
      <w:marLeft w:val="0"/>
      <w:marRight w:val="0"/>
      <w:marTop w:val="0"/>
      <w:marBottom w:val="0"/>
      <w:divBdr>
        <w:top w:val="none" w:sz="0" w:space="0" w:color="auto"/>
        <w:left w:val="none" w:sz="0" w:space="0" w:color="auto"/>
        <w:bottom w:val="none" w:sz="0" w:space="0" w:color="auto"/>
        <w:right w:val="none" w:sz="0" w:space="0" w:color="auto"/>
      </w:divBdr>
    </w:div>
    <w:div w:id="1345328619">
      <w:bodyDiv w:val="1"/>
      <w:marLeft w:val="0"/>
      <w:marRight w:val="0"/>
      <w:marTop w:val="0"/>
      <w:marBottom w:val="0"/>
      <w:divBdr>
        <w:top w:val="none" w:sz="0" w:space="0" w:color="auto"/>
        <w:left w:val="none" w:sz="0" w:space="0" w:color="auto"/>
        <w:bottom w:val="none" w:sz="0" w:space="0" w:color="auto"/>
        <w:right w:val="none" w:sz="0" w:space="0" w:color="auto"/>
      </w:divBdr>
    </w:div>
    <w:div w:id="1469274420">
      <w:bodyDiv w:val="1"/>
      <w:marLeft w:val="0"/>
      <w:marRight w:val="0"/>
      <w:marTop w:val="0"/>
      <w:marBottom w:val="0"/>
      <w:divBdr>
        <w:top w:val="none" w:sz="0" w:space="0" w:color="auto"/>
        <w:left w:val="none" w:sz="0" w:space="0" w:color="auto"/>
        <w:bottom w:val="none" w:sz="0" w:space="0" w:color="auto"/>
        <w:right w:val="none" w:sz="0" w:space="0" w:color="auto"/>
      </w:divBdr>
      <w:divsChild>
        <w:div w:id="1617325333">
          <w:marLeft w:val="576"/>
          <w:marRight w:val="0"/>
          <w:marTop w:val="160"/>
          <w:marBottom w:val="0"/>
          <w:divBdr>
            <w:top w:val="none" w:sz="0" w:space="0" w:color="auto"/>
            <w:left w:val="none" w:sz="0" w:space="0" w:color="auto"/>
            <w:bottom w:val="none" w:sz="0" w:space="0" w:color="auto"/>
            <w:right w:val="none" w:sz="0" w:space="0" w:color="auto"/>
          </w:divBdr>
        </w:div>
        <w:div w:id="1541817280">
          <w:marLeft w:val="850"/>
          <w:marRight w:val="0"/>
          <w:marTop w:val="160"/>
          <w:marBottom w:val="0"/>
          <w:divBdr>
            <w:top w:val="none" w:sz="0" w:space="0" w:color="auto"/>
            <w:left w:val="none" w:sz="0" w:space="0" w:color="auto"/>
            <w:bottom w:val="none" w:sz="0" w:space="0" w:color="auto"/>
            <w:right w:val="none" w:sz="0" w:space="0" w:color="auto"/>
          </w:divBdr>
        </w:div>
        <w:div w:id="5402447">
          <w:marLeft w:val="850"/>
          <w:marRight w:val="0"/>
          <w:marTop w:val="160"/>
          <w:marBottom w:val="0"/>
          <w:divBdr>
            <w:top w:val="none" w:sz="0" w:space="0" w:color="auto"/>
            <w:left w:val="none" w:sz="0" w:space="0" w:color="auto"/>
            <w:bottom w:val="none" w:sz="0" w:space="0" w:color="auto"/>
            <w:right w:val="none" w:sz="0" w:space="0" w:color="auto"/>
          </w:divBdr>
        </w:div>
      </w:divsChild>
    </w:div>
    <w:div w:id="1872378502">
      <w:bodyDiv w:val="1"/>
      <w:marLeft w:val="0"/>
      <w:marRight w:val="0"/>
      <w:marTop w:val="0"/>
      <w:marBottom w:val="0"/>
      <w:divBdr>
        <w:top w:val="none" w:sz="0" w:space="0" w:color="auto"/>
        <w:left w:val="none" w:sz="0" w:space="0" w:color="auto"/>
        <w:bottom w:val="none" w:sz="0" w:space="0" w:color="auto"/>
        <w:right w:val="none" w:sz="0" w:space="0" w:color="auto"/>
      </w:divBdr>
    </w:div>
    <w:div w:id="1877424490">
      <w:bodyDiv w:val="1"/>
      <w:marLeft w:val="0"/>
      <w:marRight w:val="0"/>
      <w:marTop w:val="0"/>
      <w:marBottom w:val="0"/>
      <w:divBdr>
        <w:top w:val="none" w:sz="0" w:space="0" w:color="auto"/>
        <w:left w:val="none" w:sz="0" w:space="0" w:color="auto"/>
        <w:bottom w:val="none" w:sz="0" w:space="0" w:color="auto"/>
        <w:right w:val="none" w:sz="0" w:space="0" w:color="auto"/>
      </w:divBdr>
    </w:div>
    <w:div w:id="1947610591">
      <w:bodyDiv w:val="1"/>
      <w:marLeft w:val="0"/>
      <w:marRight w:val="0"/>
      <w:marTop w:val="0"/>
      <w:marBottom w:val="0"/>
      <w:divBdr>
        <w:top w:val="none" w:sz="0" w:space="0" w:color="auto"/>
        <w:left w:val="none" w:sz="0" w:space="0" w:color="auto"/>
        <w:bottom w:val="none" w:sz="0" w:space="0" w:color="auto"/>
        <w:right w:val="none" w:sz="0" w:space="0" w:color="auto"/>
      </w:divBdr>
    </w:div>
    <w:div w:id="1970820460">
      <w:bodyDiv w:val="1"/>
      <w:marLeft w:val="0"/>
      <w:marRight w:val="0"/>
      <w:marTop w:val="0"/>
      <w:marBottom w:val="0"/>
      <w:divBdr>
        <w:top w:val="none" w:sz="0" w:space="0" w:color="auto"/>
        <w:left w:val="none" w:sz="0" w:space="0" w:color="auto"/>
        <w:bottom w:val="none" w:sz="0" w:space="0" w:color="auto"/>
        <w:right w:val="none" w:sz="0" w:space="0" w:color="auto"/>
      </w:divBdr>
      <w:divsChild>
        <w:div w:id="682785233">
          <w:marLeft w:val="288"/>
          <w:marRight w:val="0"/>
          <w:marTop w:val="160"/>
          <w:marBottom w:val="0"/>
          <w:divBdr>
            <w:top w:val="none" w:sz="0" w:space="0" w:color="auto"/>
            <w:left w:val="none" w:sz="0" w:space="0" w:color="auto"/>
            <w:bottom w:val="none" w:sz="0" w:space="0" w:color="auto"/>
            <w:right w:val="none" w:sz="0" w:space="0" w:color="auto"/>
          </w:divBdr>
        </w:div>
        <w:div w:id="1835729445">
          <w:marLeft w:val="576"/>
          <w:marRight w:val="0"/>
          <w:marTop w:val="160"/>
          <w:marBottom w:val="0"/>
          <w:divBdr>
            <w:top w:val="none" w:sz="0" w:space="0" w:color="auto"/>
            <w:left w:val="none" w:sz="0" w:space="0" w:color="auto"/>
            <w:bottom w:val="none" w:sz="0" w:space="0" w:color="auto"/>
            <w:right w:val="none" w:sz="0" w:space="0" w:color="auto"/>
          </w:divBdr>
        </w:div>
        <w:div w:id="663315418">
          <w:marLeft w:val="576"/>
          <w:marRight w:val="0"/>
          <w:marTop w:val="160"/>
          <w:marBottom w:val="0"/>
          <w:divBdr>
            <w:top w:val="none" w:sz="0" w:space="0" w:color="auto"/>
            <w:left w:val="none" w:sz="0" w:space="0" w:color="auto"/>
            <w:bottom w:val="none" w:sz="0" w:space="0" w:color="auto"/>
            <w:right w:val="none" w:sz="0" w:space="0" w:color="auto"/>
          </w:divBdr>
        </w:div>
        <w:div w:id="461386365">
          <w:marLeft w:val="576"/>
          <w:marRight w:val="0"/>
          <w:marTop w:val="160"/>
          <w:marBottom w:val="0"/>
          <w:divBdr>
            <w:top w:val="none" w:sz="0" w:space="0" w:color="auto"/>
            <w:left w:val="none" w:sz="0" w:space="0" w:color="auto"/>
            <w:bottom w:val="none" w:sz="0" w:space="0" w:color="auto"/>
            <w:right w:val="none" w:sz="0" w:space="0" w:color="auto"/>
          </w:divBdr>
        </w:div>
        <w:div w:id="160432771">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8E9A82C-E293-4214-BDCE-C2B60FE5D8FC}"/>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701AAAD7-CF07-4BAA-B467-9AA322379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2830</TotalTime>
  <Pages>3</Pages>
  <Words>920</Words>
  <Characters>4554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5464</CharactersWithSpaces>
  <SharedDoc>false</SharedDoc>
  <HLinks>
    <vt:vector size="66" baseType="variant">
      <vt:variant>
        <vt:i4>1114166</vt:i4>
      </vt:variant>
      <vt:variant>
        <vt:i4>47</vt:i4>
      </vt:variant>
      <vt:variant>
        <vt:i4>0</vt:i4>
      </vt:variant>
      <vt:variant>
        <vt:i4>5</vt:i4>
      </vt:variant>
      <vt:variant>
        <vt:lpwstr/>
      </vt:variant>
      <vt:variant>
        <vt:lpwstr>_Toc68206947</vt:lpwstr>
      </vt:variant>
      <vt:variant>
        <vt:i4>1048630</vt:i4>
      </vt:variant>
      <vt:variant>
        <vt:i4>44</vt:i4>
      </vt:variant>
      <vt:variant>
        <vt:i4>0</vt:i4>
      </vt:variant>
      <vt:variant>
        <vt:i4>5</vt:i4>
      </vt:variant>
      <vt:variant>
        <vt:lpwstr/>
      </vt:variant>
      <vt:variant>
        <vt:lpwstr>_Toc68206946</vt:lpwstr>
      </vt:variant>
      <vt:variant>
        <vt:i4>1245238</vt:i4>
      </vt:variant>
      <vt:variant>
        <vt:i4>41</vt:i4>
      </vt:variant>
      <vt:variant>
        <vt:i4>0</vt:i4>
      </vt:variant>
      <vt:variant>
        <vt:i4>5</vt:i4>
      </vt:variant>
      <vt:variant>
        <vt:lpwstr/>
      </vt:variant>
      <vt:variant>
        <vt:lpwstr>_Toc68206945</vt:lpwstr>
      </vt:variant>
      <vt:variant>
        <vt:i4>1179702</vt:i4>
      </vt:variant>
      <vt:variant>
        <vt:i4>38</vt:i4>
      </vt:variant>
      <vt:variant>
        <vt:i4>0</vt:i4>
      </vt:variant>
      <vt:variant>
        <vt:i4>5</vt:i4>
      </vt:variant>
      <vt:variant>
        <vt:lpwstr/>
      </vt:variant>
      <vt:variant>
        <vt:lpwstr>_Toc68206944</vt:lpwstr>
      </vt:variant>
      <vt:variant>
        <vt:i4>1376310</vt:i4>
      </vt:variant>
      <vt:variant>
        <vt:i4>35</vt:i4>
      </vt:variant>
      <vt:variant>
        <vt:i4>0</vt:i4>
      </vt:variant>
      <vt:variant>
        <vt:i4>5</vt:i4>
      </vt:variant>
      <vt:variant>
        <vt:lpwstr/>
      </vt:variant>
      <vt:variant>
        <vt:lpwstr>_Toc68206943</vt:lpwstr>
      </vt:variant>
      <vt:variant>
        <vt:i4>1310774</vt:i4>
      </vt:variant>
      <vt:variant>
        <vt:i4>32</vt:i4>
      </vt:variant>
      <vt:variant>
        <vt:i4>0</vt:i4>
      </vt:variant>
      <vt:variant>
        <vt:i4>5</vt:i4>
      </vt:variant>
      <vt:variant>
        <vt:lpwstr/>
      </vt:variant>
      <vt:variant>
        <vt:lpwstr>_Toc68206942</vt:lpwstr>
      </vt:variant>
      <vt:variant>
        <vt:i4>1507382</vt:i4>
      </vt:variant>
      <vt:variant>
        <vt:i4>29</vt:i4>
      </vt:variant>
      <vt:variant>
        <vt:i4>0</vt:i4>
      </vt:variant>
      <vt:variant>
        <vt:i4>5</vt:i4>
      </vt:variant>
      <vt:variant>
        <vt:lpwstr/>
      </vt:variant>
      <vt:variant>
        <vt:lpwstr>_Toc68206941</vt:lpwstr>
      </vt:variant>
      <vt:variant>
        <vt:i4>1310770</vt:i4>
      </vt:variant>
      <vt:variant>
        <vt:i4>23</vt:i4>
      </vt:variant>
      <vt:variant>
        <vt:i4>0</vt:i4>
      </vt:variant>
      <vt:variant>
        <vt:i4>5</vt:i4>
      </vt:variant>
      <vt:variant>
        <vt:lpwstr/>
      </vt:variant>
      <vt:variant>
        <vt:lpwstr>_Toc68206902</vt:lpwstr>
      </vt:variant>
      <vt:variant>
        <vt:i4>1507378</vt:i4>
      </vt:variant>
      <vt:variant>
        <vt:i4>20</vt:i4>
      </vt:variant>
      <vt:variant>
        <vt:i4>0</vt:i4>
      </vt:variant>
      <vt:variant>
        <vt:i4>5</vt:i4>
      </vt:variant>
      <vt:variant>
        <vt:lpwstr/>
      </vt:variant>
      <vt:variant>
        <vt:lpwstr>_Toc68206901</vt:lpwstr>
      </vt:variant>
      <vt:variant>
        <vt:i4>1441842</vt:i4>
      </vt:variant>
      <vt:variant>
        <vt:i4>17</vt:i4>
      </vt:variant>
      <vt:variant>
        <vt:i4>0</vt:i4>
      </vt:variant>
      <vt:variant>
        <vt:i4>5</vt:i4>
      </vt:variant>
      <vt:variant>
        <vt:lpwstr/>
      </vt:variant>
      <vt:variant>
        <vt:lpwstr>_Toc68206900</vt:lpwstr>
      </vt:variant>
      <vt:variant>
        <vt:i4>1966139</vt:i4>
      </vt:variant>
      <vt:variant>
        <vt:i4>14</vt:i4>
      </vt:variant>
      <vt:variant>
        <vt:i4>0</vt:i4>
      </vt:variant>
      <vt:variant>
        <vt:i4>5</vt:i4>
      </vt:variant>
      <vt:variant>
        <vt:lpwstr/>
      </vt:variant>
      <vt:variant>
        <vt:lpwstr>_Toc68206899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emre.yavuz@ericsson.com</dc:creator>
  <cp:keywords>3GPP; Ericsson; TDoc</cp:keywords>
  <dc:description/>
  <cp:lastModifiedBy>Emre A. Yavuz</cp:lastModifiedBy>
  <cp:revision>54</cp:revision>
  <cp:lastPrinted>2008-02-01T11:09:00Z</cp:lastPrinted>
  <dcterms:created xsi:type="dcterms:W3CDTF">2021-05-07T11:33:00Z</dcterms:created>
  <dcterms:modified xsi:type="dcterms:W3CDTF">2021-10-22T02:53:00Z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